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D44" w:rsidRDefault="00357D44" w:rsidP="00357D44">
      <w:pPr>
        <w:spacing w:after="0" w:line="259" w:lineRule="auto"/>
        <w:ind w:left="708" w:firstLine="708"/>
        <w:jc w:val="both"/>
        <w:rPr>
          <w:rFonts w:ascii="Times New Roman" w:hAnsi="Times New Roman"/>
          <w:b/>
          <w:sz w:val="44"/>
        </w:rPr>
      </w:pPr>
      <w:bookmarkStart w:id="0" w:name="_GoBack"/>
      <w:bookmarkEnd w:id="0"/>
    </w:p>
    <w:p w:rsidR="005F00C7" w:rsidRDefault="005F00C7" w:rsidP="00357D44">
      <w:pPr>
        <w:spacing w:after="0" w:line="259" w:lineRule="auto"/>
        <w:ind w:left="708" w:firstLine="708"/>
        <w:jc w:val="both"/>
        <w:rPr>
          <w:rFonts w:ascii="Times New Roman" w:hAnsi="Times New Roman"/>
          <w:b/>
          <w:sz w:val="44"/>
        </w:rPr>
      </w:pPr>
    </w:p>
    <w:p w:rsidR="00F7005E" w:rsidRDefault="00F7005E" w:rsidP="00357D44">
      <w:pPr>
        <w:spacing w:after="0" w:line="259" w:lineRule="auto"/>
        <w:ind w:left="708" w:firstLine="708"/>
        <w:jc w:val="both"/>
        <w:rPr>
          <w:rFonts w:ascii="Times New Roman" w:hAnsi="Times New Roman"/>
          <w:b/>
          <w:sz w:val="44"/>
        </w:rPr>
      </w:pPr>
    </w:p>
    <w:p w:rsidR="00357D44" w:rsidRPr="005F00C7" w:rsidRDefault="00357D44" w:rsidP="00F7005E">
      <w:pPr>
        <w:spacing w:after="0" w:line="259" w:lineRule="auto"/>
        <w:jc w:val="center"/>
        <w:rPr>
          <w:rFonts w:ascii="Times New Roman" w:hAnsi="Times New Roman"/>
          <w:b/>
          <w:sz w:val="56"/>
        </w:rPr>
      </w:pPr>
      <w:r w:rsidRPr="005F00C7">
        <w:rPr>
          <w:rFonts w:ascii="Times New Roman" w:hAnsi="Times New Roman"/>
          <w:b/>
          <w:sz w:val="56"/>
        </w:rPr>
        <w:t>Г О Д И Ш Е Н    Д О К Л А Д</w:t>
      </w:r>
    </w:p>
    <w:p w:rsidR="00F7005E" w:rsidRDefault="00F7005E" w:rsidP="00F7005E">
      <w:pPr>
        <w:spacing w:after="0" w:line="259" w:lineRule="auto"/>
        <w:ind w:left="3540" w:firstLine="708"/>
        <w:jc w:val="both"/>
        <w:rPr>
          <w:rFonts w:ascii="Times New Roman" w:hAnsi="Times New Roman"/>
          <w:b/>
          <w:sz w:val="36"/>
        </w:rPr>
      </w:pPr>
    </w:p>
    <w:p w:rsidR="00F7005E" w:rsidRPr="00F7005E" w:rsidRDefault="00357D44" w:rsidP="00F7005E">
      <w:pPr>
        <w:spacing w:after="0" w:line="259" w:lineRule="auto"/>
        <w:ind w:left="3540" w:firstLine="708"/>
        <w:jc w:val="both"/>
        <w:rPr>
          <w:rFonts w:ascii="Times New Roman" w:hAnsi="Times New Roman"/>
          <w:b/>
          <w:sz w:val="36"/>
        </w:rPr>
      </w:pPr>
      <w:r w:rsidRPr="00F7005E">
        <w:rPr>
          <w:rFonts w:ascii="Times New Roman" w:hAnsi="Times New Roman"/>
          <w:b/>
          <w:sz w:val="36"/>
        </w:rPr>
        <w:t xml:space="preserve">ЗА </w:t>
      </w:r>
    </w:p>
    <w:p w:rsidR="00F7005E" w:rsidRDefault="00F7005E" w:rsidP="00357D44">
      <w:pPr>
        <w:spacing w:after="0" w:line="259" w:lineRule="auto"/>
        <w:jc w:val="both"/>
        <w:rPr>
          <w:rFonts w:ascii="Times New Roman" w:hAnsi="Times New Roman"/>
          <w:b/>
          <w:sz w:val="48"/>
        </w:rPr>
      </w:pPr>
    </w:p>
    <w:p w:rsidR="00357D44" w:rsidRPr="00F7005E" w:rsidRDefault="00357D44" w:rsidP="00F7005E">
      <w:pPr>
        <w:spacing w:after="0" w:line="720" w:lineRule="auto"/>
        <w:jc w:val="center"/>
        <w:rPr>
          <w:rFonts w:ascii="Times New Roman" w:hAnsi="Times New Roman"/>
          <w:b/>
          <w:sz w:val="36"/>
        </w:rPr>
      </w:pPr>
      <w:r w:rsidRPr="00F7005E">
        <w:rPr>
          <w:rFonts w:ascii="Times New Roman" w:hAnsi="Times New Roman"/>
          <w:b/>
          <w:sz w:val="36"/>
        </w:rPr>
        <w:t>НАБЛЮДЕНИЕ И ОЦЕНКА НА РЕАЛИЗАЦИЯТА НА</w:t>
      </w:r>
    </w:p>
    <w:p w:rsidR="00357D44" w:rsidRPr="00F7005E" w:rsidRDefault="00357D44" w:rsidP="00F7005E">
      <w:pPr>
        <w:spacing w:after="0" w:line="720" w:lineRule="auto"/>
        <w:jc w:val="center"/>
        <w:rPr>
          <w:rFonts w:ascii="Times New Roman" w:hAnsi="Times New Roman"/>
          <w:b/>
          <w:sz w:val="36"/>
        </w:rPr>
      </w:pPr>
      <w:r w:rsidRPr="00F7005E">
        <w:rPr>
          <w:rFonts w:ascii="Times New Roman" w:hAnsi="Times New Roman"/>
          <w:b/>
          <w:sz w:val="36"/>
        </w:rPr>
        <w:t>„СТРАТЕГИЯ ЗА КУЛТУРНОТО НАСЛЕДСТВО НА ОБЩИНА НЕСЕБЪР 2023 – 2032“ ЗА ПЕРИОДА 2023 – АПРИЛ 2024</w:t>
      </w:r>
    </w:p>
    <w:p w:rsidR="00357D44" w:rsidRDefault="00357D44" w:rsidP="00F7005E">
      <w:pPr>
        <w:spacing w:after="0" w:line="720" w:lineRule="auto"/>
        <w:ind w:left="2832"/>
        <w:jc w:val="both"/>
        <w:rPr>
          <w:rFonts w:ascii="Times New Roman" w:hAnsi="Times New Roman"/>
          <w:b/>
          <w:sz w:val="28"/>
        </w:rPr>
      </w:pPr>
    </w:p>
    <w:p w:rsidR="00357D44" w:rsidRDefault="00357D44" w:rsidP="00357D44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D759FA" w:rsidRDefault="00D759FA" w:rsidP="0099773F">
      <w:pPr>
        <w:spacing w:after="0" w:line="259" w:lineRule="auto"/>
        <w:ind w:left="2832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СЪДЪРЖАНИЕ</w:t>
      </w:r>
    </w:p>
    <w:p w:rsidR="006A5C96" w:rsidRDefault="006A5C96" w:rsidP="00CD15FF">
      <w:pPr>
        <w:spacing w:after="0" w:line="259" w:lineRule="auto"/>
        <w:ind w:left="2124" w:firstLine="708"/>
        <w:rPr>
          <w:rFonts w:ascii="Times New Roman" w:hAnsi="Times New Roman"/>
          <w:b/>
          <w:sz w:val="28"/>
        </w:rPr>
      </w:pPr>
    </w:p>
    <w:p w:rsidR="00FE4669" w:rsidRDefault="00FE4669" w:rsidP="00CD15FF">
      <w:pPr>
        <w:spacing w:after="0" w:line="259" w:lineRule="auto"/>
        <w:ind w:left="2124" w:firstLine="708"/>
        <w:rPr>
          <w:rFonts w:ascii="Times New Roman" w:hAnsi="Times New Roman"/>
          <w:b/>
          <w:sz w:val="28"/>
        </w:rPr>
      </w:pPr>
    </w:p>
    <w:p w:rsidR="00AD3E91" w:rsidRDefault="00AD3E91" w:rsidP="00CD15FF">
      <w:pPr>
        <w:spacing w:after="0" w:line="259" w:lineRule="auto"/>
        <w:ind w:left="2124" w:firstLine="708"/>
        <w:rPr>
          <w:rFonts w:ascii="Times New Roman" w:hAnsi="Times New Roman"/>
          <w:b/>
          <w:sz w:val="28"/>
        </w:rPr>
      </w:pPr>
    </w:p>
    <w:p w:rsidR="00D759FA" w:rsidRDefault="00D759FA" w:rsidP="00CD15FF">
      <w:pPr>
        <w:spacing w:after="0" w:line="259" w:lineRule="auto"/>
        <w:ind w:left="2124" w:firstLine="708"/>
        <w:rPr>
          <w:rFonts w:ascii="Times New Roman" w:hAnsi="Times New Roman"/>
          <w:b/>
          <w:sz w:val="28"/>
        </w:rPr>
      </w:pPr>
    </w:p>
    <w:p w:rsidR="00D759FA" w:rsidRPr="00122AB3" w:rsidRDefault="00671382" w:rsidP="00671382">
      <w:pPr>
        <w:spacing w:after="0" w:line="259" w:lineRule="auto"/>
        <w:jc w:val="both"/>
        <w:rPr>
          <w:rFonts w:ascii="Times New Roman" w:hAnsi="Times New Roman"/>
          <w:sz w:val="28"/>
        </w:rPr>
      </w:pPr>
      <w:r w:rsidRPr="00122AB3">
        <w:rPr>
          <w:rFonts w:ascii="Times New Roman" w:hAnsi="Times New Roman"/>
          <w:b/>
          <w:sz w:val="28"/>
          <w:lang w:val="en-US"/>
        </w:rPr>
        <w:t>I.</w:t>
      </w:r>
      <w:r w:rsidR="003B47AF">
        <w:rPr>
          <w:rFonts w:ascii="Times New Roman" w:hAnsi="Times New Roman"/>
          <w:b/>
          <w:sz w:val="28"/>
        </w:rPr>
        <w:t xml:space="preserve"> </w:t>
      </w:r>
      <w:r w:rsidR="006C4A74" w:rsidRPr="00122AB3">
        <w:rPr>
          <w:rFonts w:ascii="Times New Roman" w:hAnsi="Times New Roman"/>
          <w:sz w:val="28"/>
        </w:rPr>
        <w:t>Въведение</w:t>
      </w:r>
      <w:r w:rsidR="00D759FA" w:rsidRPr="00122AB3">
        <w:rPr>
          <w:rFonts w:ascii="Times New Roman" w:hAnsi="Times New Roman"/>
          <w:sz w:val="28"/>
        </w:rPr>
        <w:t>…………</w:t>
      </w:r>
      <w:r w:rsidR="00D759FA" w:rsidRPr="00122AB3">
        <w:rPr>
          <w:rFonts w:ascii="Times New Roman" w:hAnsi="Times New Roman"/>
          <w:sz w:val="28"/>
          <w:lang w:val="en-US"/>
        </w:rPr>
        <w:t>………………………………………</w:t>
      </w:r>
      <w:r w:rsidR="00970F66">
        <w:rPr>
          <w:rFonts w:ascii="Times New Roman" w:hAnsi="Times New Roman"/>
          <w:sz w:val="28"/>
        </w:rPr>
        <w:t>…………</w:t>
      </w:r>
      <w:r w:rsidR="00757E1C">
        <w:rPr>
          <w:rFonts w:ascii="Times New Roman" w:hAnsi="Times New Roman"/>
          <w:sz w:val="28"/>
        </w:rPr>
        <w:t>...</w:t>
      </w:r>
      <w:r w:rsidR="00757E1C" w:rsidRPr="008A4426">
        <w:rPr>
          <w:rFonts w:ascii="Times New Roman" w:hAnsi="Times New Roman"/>
          <w:b/>
          <w:sz w:val="28"/>
        </w:rPr>
        <w:t>стр.</w:t>
      </w:r>
      <w:r w:rsidR="00970F66" w:rsidRPr="008A4426">
        <w:rPr>
          <w:rFonts w:ascii="Times New Roman" w:hAnsi="Times New Roman"/>
          <w:b/>
          <w:sz w:val="28"/>
        </w:rPr>
        <w:t>2</w:t>
      </w:r>
    </w:p>
    <w:p w:rsidR="00671382" w:rsidRPr="00122AB3" w:rsidRDefault="00671382" w:rsidP="00671382">
      <w:pPr>
        <w:spacing w:after="0" w:line="259" w:lineRule="auto"/>
        <w:jc w:val="both"/>
        <w:rPr>
          <w:rFonts w:ascii="Times New Roman" w:hAnsi="Times New Roman"/>
          <w:sz w:val="28"/>
          <w:lang w:val="en-US"/>
        </w:rPr>
      </w:pPr>
    </w:p>
    <w:p w:rsidR="00D759FA" w:rsidRPr="00122AB3" w:rsidRDefault="00671382" w:rsidP="00671382">
      <w:pPr>
        <w:spacing w:after="50" w:line="263" w:lineRule="auto"/>
        <w:contextualSpacing/>
        <w:jc w:val="both"/>
        <w:rPr>
          <w:rFonts w:ascii="Times New Roman" w:eastAsia="Arial" w:hAnsi="Times New Roman"/>
          <w:sz w:val="28"/>
          <w:szCs w:val="28"/>
        </w:rPr>
      </w:pPr>
      <w:r w:rsidRPr="00122AB3">
        <w:rPr>
          <w:rFonts w:ascii="Times New Roman" w:eastAsia="Arial" w:hAnsi="Times New Roman"/>
          <w:b/>
          <w:sz w:val="28"/>
          <w:szCs w:val="28"/>
          <w:lang w:val="en-US"/>
        </w:rPr>
        <w:t>II.</w:t>
      </w:r>
      <w:r w:rsidR="003B47AF">
        <w:rPr>
          <w:rFonts w:ascii="Times New Roman" w:eastAsia="Arial" w:hAnsi="Times New Roman"/>
          <w:b/>
          <w:sz w:val="28"/>
          <w:szCs w:val="28"/>
        </w:rPr>
        <w:t xml:space="preserve"> </w:t>
      </w:r>
      <w:r w:rsidR="00D759FA" w:rsidRPr="00122AB3">
        <w:rPr>
          <w:rFonts w:ascii="Times New Roman" w:eastAsia="Arial" w:hAnsi="Times New Roman"/>
          <w:sz w:val="28"/>
          <w:szCs w:val="28"/>
        </w:rPr>
        <w:t>А</w:t>
      </w:r>
      <w:r w:rsidR="006C4A74" w:rsidRPr="00122AB3">
        <w:rPr>
          <w:rFonts w:ascii="Times New Roman" w:eastAsia="Arial" w:hAnsi="Times New Roman"/>
          <w:sz w:val="28"/>
          <w:szCs w:val="28"/>
        </w:rPr>
        <w:t>нализ и оценка на промените в социално – икономическата конюктура в общината, имащи въздействие върху изпълнението на  стратегията</w:t>
      </w:r>
      <w:r w:rsidR="00D759FA" w:rsidRPr="00122AB3">
        <w:rPr>
          <w:rFonts w:ascii="Times New Roman" w:eastAsia="Arial" w:hAnsi="Times New Roman"/>
          <w:sz w:val="28"/>
          <w:szCs w:val="28"/>
          <w:lang w:val="en-US"/>
        </w:rPr>
        <w:t>………………………………………</w:t>
      </w:r>
      <w:r w:rsidR="00970F66">
        <w:rPr>
          <w:rFonts w:ascii="Times New Roman" w:eastAsia="Arial" w:hAnsi="Times New Roman"/>
          <w:sz w:val="28"/>
          <w:szCs w:val="28"/>
        </w:rPr>
        <w:t>……………………</w:t>
      </w:r>
      <w:r w:rsidR="008A4426">
        <w:rPr>
          <w:rFonts w:ascii="Times New Roman" w:eastAsia="Arial" w:hAnsi="Times New Roman"/>
          <w:sz w:val="28"/>
          <w:szCs w:val="28"/>
        </w:rPr>
        <w:t>...</w:t>
      </w:r>
      <w:r w:rsidR="00970F66">
        <w:rPr>
          <w:rFonts w:ascii="Times New Roman" w:eastAsia="Arial" w:hAnsi="Times New Roman"/>
          <w:sz w:val="28"/>
          <w:szCs w:val="28"/>
        </w:rPr>
        <w:t>.</w:t>
      </w:r>
      <w:r w:rsidR="00757E1C" w:rsidRPr="008A4426">
        <w:rPr>
          <w:rFonts w:ascii="Times New Roman" w:eastAsia="Arial" w:hAnsi="Times New Roman"/>
          <w:b/>
          <w:sz w:val="28"/>
          <w:szCs w:val="28"/>
          <w:lang w:val="en-US"/>
        </w:rPr>
        <w:t>стр.</w:t>
      </w:r>
      <w:r w:rsidR="00970F66" w:rsidRPr="008A4426">
        <w:rPr>
          <w:rFonts w:ascii="Times New Roman" w:eastAsia="Arial" w:hAnsi="Times New Roman"/>
          <w:b/>
          <w:sz w:val="28"/>
          <w:szCs w:val="28"/>
        </w:rPr>
        <w:t>4</w:t>
      </w:r>
    </w:p>
    <w:p w:rsidR="00671382" w:rsidRPr="00122AB3" w:rsidRDefault="00671382" w:rsidP="00671382">
      <w:pPr>
        <w:spacing w:after="50" w:line="263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D759FA" w:rsidRPr="00122AB3" w:rsidRDefault="00671382" w:rsidP="00671382">
      <w:pPr>
        <w:spacing w:after="0" w:line="259" w:lineRule="auto"/>
        <w:jc w:val="both"/>
        <w:rPr>
          <w:rFonts w:ascii="Times New Roman" w:hAnsi="Times New Roman"/>
          <w:sz w:val="28"/>
        </w:rPr>
      </w:pPr>
      <w:r w:rsidRPr="00122AB3">
        <w:rPr>
          <w:rFonts w:ascii="Times New Roman" w:hAnsi="Times New Roman"/>
          <w:b/>
          <w:sz w:val="28"/>
          <w:lang w:val="en-US"/>
        </w:rPr>
        <w:t>III</w:t>
      </w:r>
      <w:r w:rsidRPr="00CD5D88">
        <w:rPr>
          <w:rFonts w:ascii="Times New Roman" w:hAnsi="Times New Roman"/>
          <w:b/>
          <w:sz w:val="28"/>
        </w:rPr>
        <w:t>.</w:t>
      </w:r>
      <w:r w:rsidR="003B47AF">
        <w:rPr>
          <w:rFonts w:ascii="Times New Roman" w:hAnsi="Times New Roman"/>
          <w:b/>
          <w:sz w:val="28"/>
        </w:rPr>
        <w:t xml:space="preserve"> </w:t>
      </w:r>
      <w:r w:rsidR="006C4A74" w:rsidRPr="00122AB3">
        <w:rPr>
          <w:rFonts w:ascii="Times New Roman" w:hAnsi="Times New Roman"/>
          <w:sz w:val="28"/>
        </w:rPr>
        <w:t>Изпълнени проекти/дейности, допринасящи за постигане на приоритетите и специфичните цели на стратегията</w:t>
      </w:r>
      <w:r w:rsidR="00D759FA" w:rsidRPr="00CD5D88">
        <w:rPr>
          <w:rFonts w:ascii="Times New Roman" w:hAnsi="Times New Roman"/>
          <w:sz w:val="28"/>
        </w:rPr>
        <w:t>………</w:t>
      </w:r>
      <w:r w:rsidR="00970F66">
        <w:rPr>
          <w:rFonts w:ascii="Times New Roman" w:hAnsi="Times New Roman"/>
          <w:sz w:val="28"/>
        </w:rPr>
        <w:t>…………</w:t>
      </w:r>
      <w:r w:rsidR="00757E1C">
        <w:rPr>
          <w:rFonts w:ascii="Times New Roman" w:hAnsi="Times New Roman"/>
          <w:sz w:val="28"/>
        </w:rPr>
        <w:t>..</w:t>
      </w:r>
      <w:r w:rsidR="00757E1C" w:rsidRPr="008A4426">
        <w:rPr>
          <w:rFonts w:ascii="Times New Roman" w:hAnsi="Times New Roman"/>
          <w:b/>
          <w:sz w:val="28"/>
        </w:rPr>
        <w:t>стр.</w:t>
      </w:r>
      <w:r w:rsidR="00970F66" w:rsidRPr="008A4426">
        <w:rPr>
          <w:rFonts w:ascii="Times New Roman" w:hAnsi="Times New Roman"/>
          <w:b/>
          <w:sz w:val="28"/>
        </w:rPr>
        <w:t>6</w:t>
      </w:r>
    </w:p>
    <w:p w:rsidR="00671382" w:rsidRPr="00CD5D88" w:rsidRDefault="00671382" w:rsidP="00671382">
      <w:pPr>
        <w:spacing w:after="0" w:line="259" w:lineRule="auto"/>
        <w:jc w:val="both"/>
        <w:rPr>
          <w:rFonts w:ascii="Times New Roman" w:hAnsi="Times New Roman"/>
          <w:sz w:val="28"/>
        </w:rPr>
      </w:pPr>
    </w:p>
    <w:p w:rsidR="00D759FA" w:rsidRPr="00122AB3" w:rsidRDefault="00671382" w:rsidP="00671382">
      <w:pPr>
        <w:spacing w:after="0" w:line="259" w:lineRule="auto"/>
        <w:jc w:val="both"/>
        <w:rPr>
          <w:rFonts w:ascii="Times New Roman" w:hAnsi="Times New Roman"/>
          <w:sz w:val="28"/>
        </w:rPr>
      </w:pPr>
      <w:r w:rsidRPr="00122AB3">
        <w:rPr>
          <w:rFonts w:ascii="Times New Roman" w:hAnsi="Times New Roman"/>
          <w:b/>
          <w:sz w:val="28"/>
          <w:lang w:val="en-US"/>
        </w:rPr>
        <w:t>IV</w:t>
      </w:r>
      <w:r w:rsidRPr="00CD5D88">
        <w:rPr>
          <w:rFonts w:ascii="Times New Roman" w:hAnsi="Times New Roman"/>
          <w:b/>
          <w:sz w:val="28"/>
        </w:rPr>
        <w:t>.</w:t>
      </w:r>
      <w:r w:rsidR="003B47AF">
        <w:rPr>
          <w:rFonts w:ascii="Times New Roman" w:hAnsi="Times New Roman"/>
          <w:b/>
          <w:sz w:val="28"/>
        </w:rPr>
        <w:t xml:space="preserve"> </w:t>
      </w:r>
      <w:r w:rsidR="006C4A74" w:rsidRPr="00122AB3">
        <w:rPr>
          <w:rFonts w:ascii="Times New Roman" w:hAnsi="Times New Roman"/>
          <w:sz w:val="28"/>
        </w:rPr>
        <w:t xml:space="preserve">Проектни инициативи и статус на реализация на „Концепция за опазване на културното наследство“, изготвена за кандидатстване на „Старинен град Несебър“ по ОП „Региони в разтеж“ 2014 – 2020, (Приложение 7.8. от „Стратегия за културното наследство на Община Несебър </w:t>
      </w:r>
      <w:r w:rsidR="00D759FA" w:rsidRPr="00122AB3">
        <w:rPr>
          <w:rFonts w:ascii="Times New Roman" w:hAnsi="Times New Roman"/>
          <w:sz w:val="28"/>
        </w:rPr>
        <w:t>2023 – 2032</w:t>
      </w:r>
      <w:r w:rsidR="006C4A74" w:rsidRPr="00122AB3">
        <w:rPr>
          <w:rFonts w:ascii="Times New Roman" w:hAnsi="Times New Roman"/>
          <w:sz w:val="28"/>
        </w:rPr>
        <w:t>“</w:t>
      </w:r>
      <w:r w:rsidR="00D759FA" w:rsidRPr="00122AB3">
        <w:rPr>
          <w:rFonts w:ascii="Times New Roman" w:hAnsi="Times New Roman"/>
          <w:sz w:val="28"/>
        </w:rPr>
        <w:t>)</w:t>
      </w:r>
      <w:r w:rsidR="00D759FA" w:rsidRPr="00CD5D88">
        <w:rPr>
          <w:rFonts w:ascii="Times New Roman" w:hAnsi="Times New Roman"/>
          <w:sz w:val="28"/>
        </w:rPr>
        <w:t>…</w:t>
      </w:r>
      <w:r w:rsidR="006A5C96" w:rsidRPr="00CD5D88">
        <w:rPr>
          <w:rFonts w:ascii="Times New Roman" w:hAnsi="Times New Roman"/>
          <w:sz w:val="28"/>
        </w:rPr>
        <w:t>…</w:t>
      </w:r>
      <w:r w:rsidR="00970F66">
        <w:rPr>
          <w:rFonts w:ascii="Times New Roman" w:hAnsi="Times New Roman"/>
          <w:sz w:val="28"/>
        </w:rPr>
        <w:t>…………………………………</w:t>
      </w:r>
      <w:r w:rsidR="00757E1C">
        <w:rPr>
          <w:rFonts w:ascii="Times New Roman" w:hAnsi="Times New Roman"/>
          <w:sz w:val="28"/>
        </w:rPr>
        <w:t>......</w:t>
      </w:r>
      <w:r w:rsidR="008A4426">
        <w:rPr>
          <w:rFonts w:ascii="Times New Roman" w:hAnsi="Times New Roman"/>
          <w:sz w:val="28"/>
        </w:rPr>
        <w:t>......</w:t>
      </w:r>
      <w:r w:rsidR="00970F66">
        <w:rPr>
          <w:rFonts w:ascii="Times New Roman" w:hAnsi="Times New Roman"/>
          <w:sz w:val="28"/>
        </w:rPr>
        <w:t>…</w:t>
      </w:r>
      <w:r w:rsidR="00757E1C" w:rsidRPr="008A4426">
        <w:rPr>
          <w:rFonts w:ascii="Times New Roman" w:hAnsi="Times New Roman"/>
          <w:b/>
          <w:sz w:val="28"/>
        </w:rPr>
        <w:t>стр.</w:t>
      </w:r>
      <w:r w:rsidR="00970F66" w:rsidRPr="008A4426">
        <w:rPr>
          <w:rFonts w:ascii="Times New Roman" w:hAnsi="Times New Roman"/>
          <w:b/>
          <w:sz w:val="28"/>
        </w:rPr>
        <w:t>10</w:t>
      </w:r>
    </w:p>
    <w:p w:rsidR="00671382" w:rsidRPr="00CD5D88" w:rsidRDefault="00671382" w:rsidP="00671382">
      <w:pPr>
        <w:spacing w:after="0" w:line="259" w:lineRule="auto"/>
        <w:jc w:val="both"/>
        <w:rPr>
          <w:rFonts w:ascii="Times New Roman" w:hAnsi="Times New Roman"/>
          <w:sz w:val="28"/>
        </w:rPr>
      </w:pPr>
    </w:p>
    <w:p w:rsidR="00D759FA" w:rsidRPr="00122AB3" w:rsidRDefault="00671382" w:rsidP="00671382">
      <w:pPr>
        <w:spacing w:after="0" w:line="259" w:lineRule="auto"/>
        <w:jc w:val="both"/>
        <w:rPr>
          <w:rFonts w:ascii="Times New Roman" w:hAnsi="Times New Roman"/>
          <w:sz w:val="28"/>
        </w:rPr>
      </w:pPr>
      <w:r w:rsidRPr="00122AB3">
        <w:rPr>
          <w:rFonts w:ascii="Times New Roman" w:hAnsi="Times New Roman"/>
          <w:b/>
          <w:sz w:val="28"/>
          <w:lang w:val="en-US"/>
        </w:rPr>
        <w:t>V.</w:t>
      </w:r>
      <w:r w:rsidR="003B47AF">
        <w:rPr>
          <w:rFonts w:ascii="Times New Roman" w:hAnsi="Times New Roman"/>
          <w:b/>
          <w:sz w:val="28"/>
        </w:rPr>
        <w:t xml:space="preserve"> </w:t>
      </w:r>
      <w:r w:rsidR="006C4A74" w:rsidRPr="00122AB3">
        <w:rPr>
          <w:rFonts w:ascii="Times New Roman" w:hAnsi="Times New Roman"/>
          <w:sz w:val="28"/>
        </w:rPr>
        <w:t xml:space="preserve">Други дейности и мероприятия, допринасящи, популяризирането, </w:t>
      </w:r>
      <w:r w:rsidR="006A5C96" w:rsidRPr="00122AB3">
        <w:rPr>
          <w:rFonts w:ascii="Times New Roman" w:hAnsi="Times New Roman"/>
          <w:sz w:val="28"/>
        </w:rPr>
        <w:t>опазването и устойчивото развитие на културното наследство на Община Несебър……</w:t>
      </w:r>
      <w:r w:rsidR="00970F66">
        <w:rPr>
          <w:rFonts w:ascii="Times New Roman" w:hAnsi="Times New Roman"/>
          <w:sz w:val="28"/>
        </w:rPr>
        <w:t>………………………………………………………</w:t>
      </w:r>
      <w:r w:rsidR="00757E1C">
        <w:rPr>
          <w:rFonts w:ascii="Times New Roman" w:hAnsi="Times New Roman"/>
          <w:sz w:val="28"/>
        </w:rPr>
        <w:t>…</w:t>
      </w:r>
      <w:r w:rsidR="00970F66">
        <w:rPr>
          <w:rFonts w:ascii="Times New Roman" w:hAnsi="Times New Roman"/>
          <w:sz w:val="28"/>
        </w:rPr>
        <w:t>…</w:t>
      </w:r>
      <w:r w:rsidR="00757E1C" w:rsidRPr="008A4426">
        <w:rPr>
          <w:rFonts w:ascii="Times New Roman" w:hAnsi="Times New Roman"/>
          <w:b/>
          <w:sz w:val="28"/>
        </w:rPr>
        <w:t>стр.</w:t>
      </w:r>
      <w:r w:rsidR="00970F66" w:rsidRPr="008A4426">
        <w:rPr>
          <w:rFonts w:ascii="Times New Roman" w:hAnsi="Times New Roman"/>
          <w:b/>
          <w:sz w:val="28"/>
        </w:rPr>
        <w:t>12</w:t>
      </w:r>
    </w:p>
    <w:p w:rsidR="00671382" w:rsidRPr="00122AB3" w:rsidRDefault="00671382" w:rsidP="00671382">
      <w:pPr>
        <w:spacing w:after="0" w:line="259" w:lineRule="auto"/>
        <w:jc w:val="both"/>
        <w:rPr>
          <w:rFonts w:ascii="Times New Roman" w:hAnsi="Times New Roman"/>
          <w:sz w:val="28"/>
          <w:lang w:val="en-US"/>
        </w:rPr>
      </w:pPr>
    </w:p>
    <w:p w:rsidR="00D759FA" w:rsidRPr="00AD3E91" w:rsidRDefault="00671382" w:rsidP="00671382">
      <w:pPr>
        <w:spacing w:after="160" w:line="259" w:lineRule="auto"/>
        <w:contextualSpacing/>
        <w:jc w:val="both"/>
        <w:rPr>
          <w:rFonts w:ascii="Times New Roman" w:hAnsi="Times New Roman"/>
          <w:sz w:val="28"/>
          <w:lang w:val="en-US"/>
        </w:rPr>
      </w:pPr>
      <w:r w:rsidRPr="00122AB3">
        <w:rPr>
          <w:rFonts w:ascii="Times New Roman" w:hAnsi="Times New Roman"/>
          <w:b/>
          <w:sz w:val="28"/>
          <w:lang w:val="en-US"/>
        </w:rPr>
        <w:t>VI.</w:t>
      </w:r>
      <w:r w:rsidR="003B47AF">
        <w:rPr>
          <w:rFonts w:ascii="Times New Roman" w:hAnsi="Times New Roman"/>
          <w:b/>
          <w:sz w:val="28"/>
        </w:rPr>
        <w:t xml:space="preserve">  </w:t>
      </w:r>
      <w:r w:rsidR="00D759FA" w:rsidRPr="00122AB3">
        <w:rPr>
          <w:rFonts w:ascii="Times New Roman" w:hAnsi="Times New Roman"/>
          <w:sz w:val="28"/>
        </w:rPr>
        <w:t>И</w:t>
      </w:r>
      <w:r w:rsidR="00970F66">
        <w:rPr>
          <w:rFonts w:ascii="Times New Roman" w:hAnsi="Times New Roman"/>
          <w:sz w:val="28"/>
        </w:rPr>
        <w:t>зводи и препоръки</w:t>
      </w:r>
      <w:r w:rsidR="00970F66" w:rsidRPr="00AD3E91">
        <w:rPr>
          <w:rFonts w:ascii="Times New Roman" w:hAnsi="Times New Roman"/>
          <w:sz w:val="28"/>
        </w:rPr>
        <w:t>…………………………………..</w:t>
      </w:r>
      <w:r w:rsidR="00757E1C">
        <w:rPr>
          <w:rFonts w:ascii="Times New Roman" w:hAnsi="Times New Roman"/>
          <w:sz w:val="28"/>
        </w:rPr>
        <w:t>………...…</w:t>
      </w:r>
      <w:r w:rsidR="00757E1C" w:rsidRPr="008A4426">
        <w:rPr>
          <w:rFonts w:ascii="Times New Roman" w:hAnsi="Times New Roman"/>
          <w:b/>
          <w:sz w:val="28"/>
        </w:rPr>
        <w:t>стр.</w:t>
      </w:r>
      <w:r w:rsidR="00970F66" w:rsidRPr="008A4426">
        <w:rPr>
          <w:rFonts w:ascii="Times New Roman" w:hAnsi="Times New Roman"/>
          <w:b/>
          <w:sz w:val="28"/>
        </w:rPr>
        <w:t>14</w:t>
      </w:r>
    </w:p>
    <w:p w:rsidR="00D759FA" w:rsidRPr="00D759FA" w:rsidRDefault="00D759FA" w:rsidP="00D759FA">
      <w:pPr>
        <w:spacing w:after="0" w:line="259" w:lineRule="auto"/>
        <w:ind w:left="360"/>
        <w:jc w:val="both"/>
        <w:rPr>
          <w:rFonts w:ascii="Times New Roman" w:hAnsi="Times New Roman"/>
          <w:b/>
          <w:sz w:val="28"/>
          <w:lang w:val="en-US"/>
        </w:rPr>
      </w:pPr>
    </w:p>
    <w:p w:rsidR="001D214B" w:rsidRDefault="001D214B" w:rsidP="001D214B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1D214B" w:rsidRDefault="001D214B" w:rsidP="001D214B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1D214B" w:rsidRDefault="001D214B" w:rsidP="001D214B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1D214B" w:rsidRDefault="001D214B" w:rsidP="001D214B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1D214B" w:rsidRDefault="001D214B" w:rsidP="001D214B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1D214B" w:rsidRDefault="001D214B" w:rsidP="001D214B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1D214B" w:rsidRDefault="001D214B" w:rsidP="001D214B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1D214B" w:rsidRDefault="001D214B" w:rsidP="001D214B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1D214B" w:rsidRDefault="001D214B" w:rsidP="001D214B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1D214B" w:rsidRDefault="001D214B" w:rsidP="001D214B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1D214B" w:rsidRDefault="001D214B" w:rsidP="001D214B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1D214B" w:rsidRDefault="001D214B" w:rsidP="001D214B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1A1F4A" w:rsidRPr="001A1F4A" w:rsidRDefault="001A1F4A" w:rsidP="001D214B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 w:rsidRPr="001A1F4A">
        <w:rPr>
          <w:rFonts w:ascii="Times New Roman" w:hAnsi="Times New Roman"/>
          <w:b/>
          <w:sz w:val="28"/>
        </w:rPr>
        <w:t xml:space="preserve">                                </w:t>
      </w:r>
    </w:p>
    <w:p w:rsidR="001A1F4A" w:rsidRPr="001A1F4A" w:rsidRDefault="001A1F4A" w:rsidP="001A1F4A">
      <w:pPr>
        <w:spacing w:after="160" w:line="259" w:lineRule="auto"/>
        <w:rPr>
          <w:rFonts w:ascii="Times New Roman" w:hAnsi="Times New Roman"/>
          <w:b/>
          <w:sz w:val="28"/>
        </w:rPr>
      </w:pPr>
    </w:p>
    <w:p w:rsidR="001A1F4A" w:rsidRDefault="001A1F4A" w:rsidP="001A1F4A">
      <w:pPr>
        <w:numPr>
          <w:ilvl w:val="0"/>
          <w:numId w:val="3"/>
        </w:numPr>
        <w:spacing w:after="160" w:line="259" w:lineRule="auto"/>
        <w:contextualSpacing/>
        <w:rPr>
          <w:rFonts w:ascii="Times New Roman" w:hAnsi="Times New Roman"/>
          <w:b/>
          <w:sz w:val="28"/>
        </w:rPr>
      </w:pPr>
      <w:r w:rsidRPr="001A1F4A">
        <w:rPr>
          <w:rFonts w:ascii="Times New Roman" w:hAnsi="Times New Roman"/>
          <w:b/>
          <w:sz w:val="28"/>
        </w:rPr>
        <w:t>ВЪВЕДЕНИЕ</w:t>
      </w:r>
    </w:p>
    <w:p w:rsidR="00464D5F" w:rsidRPr="001A1F4A" w:rsidRDefault="00464D5F" w:rsidP="00464D5F">
      <w:pPr>
        <w:spacing w:after="160" w:line="259" w:lineRule="auto"/>
        <w:contextualSpacing/>
        <w:rPr>
          <w:rFonts w:ascii="Times New Roman" w:hAnsi="Times New Roman"/>
          <w:b/>
          <w:sz w:val="28"/>
        </w:rPr>
      </w:pPr>
    </w:p>
    <w:p w:rsidR="0082692F" w:rsidRDefault="001A1F4A" w:rsidP="00A44DB9">
      <w:pPr>
        <w:spacing w:after="0" w:line="259" w:lineRule="auto"/>
        <w:ind w:firstLine="708"/>
        <w:jc w:val="both"/>
        <w:rPr>
          <w:rFonts w:ascii="Times New Roman" w:hAnsi="Times New Roman"/>
          <w:sz w:val="28"/>
        </w:rPr>
      </w:pPr>
      <w:r w:rsidRPr="001A1F4A">
        <w:rPr>
          <w:rFonts w:ascii="Times New Roman" w:hAnsi="Times New Roman"/>
          <w:sz w:val="28"/>
        </w:rPr>
        <w:t xml:space="preserve">Световната значимост на културното наследство в община Несебър е безспорна, затвърдена с получаването на статут на световна културна ценност на „Старинен град Несебър“ и приемането му в Списъка на световното културно и природно наследство на ЮНЕСКО по време на </w:t>
      </w:r>
      <w:r w:rsidRPr="001A1F4A">
        <w:rPr>
          <w:rFonts w:ascii="Times New Roman" w:hAnsi="Times New Roman"/>
          <w:sz w:val="28"/>
          <w:lang w:val="en-US"/>
        </w:rPr>
        <w:t>VII</w:t>
      </w:r>
      <w:r w:rsidRPr="001A1F4A">
        <w:rPr>
          <w:rFonts w:ascii="Times New Roman" w:hAnsi="Times New Roman"/>
          <w:sz w:val="28"/>
        </w:rPr>
        <w:t>-та редовна сесия на Комитета, проведена на 09.12.1983 г. във Флоренция.</w:t>
      </w:r>
      <w:r w:rsidRPr="001A1F4A">
        <w:rPr>
          <w:rFonts w:ascii="Times New Roman" w:hAnsi="Times New Roman"/>
          <w:sz w:val="28"/>
        </w:rPr>
        <w:tab/>
      </w:r>
      <w:r w:rsidR="002004D2">
        <w:rPr>
          <w:rFonts w:ascii="Times New Roman" w:hAnsi="Times New Roman"/>
          <w:sz w:val="28"/>
        </w:rPr>
        <w:t xml:space="preserve"> </w:t>
      </w:r>
      <w:r w:rsidRPr="001A1F4A">
        <w:rPr>
          <w:rFonts w:ascii="Times New Roman" w:hAnsi="Times New Roman"/>
          <w:sz w:val="28"/>
        </w:rPr>
        <w:t>Полученото признание и изключителната световна стойност налагат специфичен подход при управлението,</w:t>
      </w:r>
      <w:r w:rsidR="002004D2">
        <w:rPr>
          <w:rFonts w:ascii="Times New Roman" w:hAnsi="Times New Roman"/>
          <w:sz w:val="28"/>
        </w:rPr>
        <w:t xml:space="preserve"> представянето и развитието на о</w:t>
      </w:r>
      <w:r w:rsidRPr="001A1F4A">
        <w:rPr>
          <w:rFonts w:ascii="Times New Roman" w:hAnsi="Times New Roman"/>
          <w:sz w:val="28"/>
        </w:rPr>
        <w:t xml:space="preserve">бщината. </w:t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>Изготвената „Стратегия за културното наследство на Община Несебър 2023 – 2032“ е важна стъпка в провеждането на общинска политика основно базираща се на културното наследство, като завещано от вековете благо. Съвременното съществуване на това безценно богатство е съобразено с множество нормативни изисквания, с ограниченията на притежателите му, с недостатъчно целенасочено финансиране, и неговото превръщане в споделена ценност, ресурс и стимул за устойчиво развитие на общината и подобряването на качеството на живота на местната общност.</w:t>
      </w:r>
      <w:r w:rsidRPr="001A1F4A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>Изготвянето на годишен доклад  за наблюдение на изпълнението на дейностите, заложени в „Стратегия за културното наследство на община Несебър 2023 – 2032“, представлява практиката на измерване, оповестяване и отчитане пред вътрешните и външните заинт</w:t>
      </w:r>
      <w:r w:rsidR="00724C9A">
        <w:rPr>
          <w:rFonts w:ascii="Times New Roman" w:hAnsi="Times New Roman"/>
          <w:sz w:val="28"/>
        </w:rPr>
        <w:t xml:space="preserve">ересовани страни, </w:t>
      </w:r>
      <w:r w:rsidRPr="001A1F4A">
        <w:rPr>
          <w:rFonts w:ascii="Times New Roman" w:hAnsi="Times New Roman"/>
          <w:sz w:val="28"/>
        </w:rPr>
        <w:t>за органи</w:t>
      </w:r>
      <w:r w:rsidR="00724C9A">
        <w:rPr>
          <w:rFonts w:ascii="Times New Roman" w:hAnsi="Times New Roman"/>
          <w:sz w:val="28"/>
        </w:rPr>
        <w:t xml:space="preserve">зационната и оперативна дейност, </w:t>
      </w:r>
      <w:r w:rsidRPr="001A1F4A">
        <w:rPr>
          <w:rFonts w:ascii="Times New Roman" w:hAnsi="Times New Roman"/>
          <w:sz w:val="28"/>
        </w:rPr>
        <w:t xml:space="preserve">за реализиране на крайната стратегическа цел и визия на Община Несебър към 2032 година. </w:t>
      </w:r>
      <w:r w:rsidR="0082692F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>Това е инструмент както за управление, така и за отчетност. То</w:t>
      </w:r>
      <w:r w:rsidR="00724C9A">
        <w:rPr>
          <w:rFonts w:ascii="Times New Roman" w:hAnsi="Times New Roman"/>
          <w:sz w:val="28"/>
        </w:rPr>
        <w:t>й</w:t>
      </w:r>
      <w:r w:rsidRPr="001A1F4A">
        <w:rPr>
          <w:rFonts w:ascii="Times New Roman" w:hAnsi="Times New Roman"/>
          <w:sz w:val="28"/>
        </w:rPr>
        <w:t xml:space="preserve"> включва докладване относно начина, по който съответната организация съобразява дейността си с въпросите на културното наследство, както и нейното, социално, икономическо и екологично въздействие. </w:t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  <w:t xml:space="preserve">Настоящата Стратегия за културното наследство на община Несебър е в съответствие с целите на устойчивото развитие на ООН, отразени в Плана 2030, както и с целите на Националната програма за развитие „България 2030“, като е акцентирано върху тези, имащи стратегически принос в областите на влияние културното наследство. По отношение на акваторията Стратегията съответства на целите и предвижданията на Морската стратегия на Република България 2022—2027 г. и Морски пространствен план на Република България 2021—2035 </w:t>
      </w:r>
      <w:r w:rsidRPr="001A1F4A">
        <w:rPr>
          <w:rFonts w:ascii="Times New Roman" w:hAnsi="Times New Roman"/>
          <w:sz w:val="28"/>
        </w:rPr>
        <w:lastRenderedPageBreak/>
        <w:t xml:space="preserve">година. </w:t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 xml:space="preserve">Основната мисия на Община Несебър е </w:t>
      </w:r>
      <w:r w:rsidRPr="001A1F4A">
        <w:rPr>
          <w:rFonts w:ascii="Times New Roman" w:hAnsi="Times New Roman"/>
          <w:b/>
          <w:sz w:val="28"/>
        </w:rPr>
        <w:t>да осигури политическа, стратегическа, финансова и иновативна административна среда за утвърждаване на културната идентичност и осъществяване на устойчиво опазване и управление на културното наследство на територията на общината, както и да гарантира и обедини намерения, ресурси, участие и капацитет на местната власт и заинтересованите страни за съхранение на автентичността, целостта и атрибутите на изключителната световна стойност на  „Старинен град Несебър“</w:t>
      </w:r>
      <w:r w:rsidRPr="001A1F4A">
        <w:rPr>
          <w:rFonts w:ascii="Times New Roman" w:hAnsi="Times New Roman"/>
          <w:sz w:val="28"/>
        </w:rPr>
        <w:t xml:space="preserve">. </w:t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 xml:space="preserve">Така дефинираната мисия на Община Несебър е в съответствие с дадените правомощия на местната власт от Закона за културното наследство, Закона за закрила и развитие на културата, Закон за устройството на територията, Закон за регионалното развитие и Закон за местното самоуправление и местната администрация. </w:t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  <w:t xml:space="preserve">В Стратегията е дефинирана една обща стратегическа цел за културното наследство на Община Несебър и на „Старинен град Несебър“ и са определени три основни приоритета, релевантни към нея, предназначени да регулират политиката на местно ниво и изключително важни в глобален план. И трите стратегически приоритета са определени с еднаква тежест и отговарят на желаната посока на развитие на културното наследство на Община Несебър, като всеки от тях е подкрепен със специфични цели за постигане на определените резултати, използвайки подхода за управление, </w:t>
      </w:r>
      <w:r w:rsidR="00464D5F">
        <w:rPr>
          <w:rFonts w:ascii="Times New Roman" w:hAnsi="Times New Roman"/>
          <w:sz w:val="28"/>
        </w:rPr>
        <w:t>основано на резултатите.</w:t>
      </w:r>
      <w:r w:rsidR="00464D5F">
        <w:rPr>
          <w:rFonts w:ascii="Times New Roman" w:hAnsi="Times New Roman"/>
          <w:sz w:val="28"/>
        </w:rPr>
        <w:tab/>
      </w:r>
      <w:r w:rsidR="00464D5F">
        <w:rPr>
          <w:rFonts w:ascii="Times New Roman" w:hAnsi="Times New Roman"/>
          <w:sz w:val="28"/>
        </w:rPr>
        <w:tab/>
      </w:r>
      <w:r w:rsidR="00464D5F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 xml:space="preserve">Общата стратегическа цел е </w:t>
      </w:r>
      <w:r w:rsidRPr="001A1F4A">
        <w:rPr>
          <w:rFonts w:ascii="Times New Roman" w:hAnsi="Times New Roman"/>
          <w:b/>
          <w:sz w:val="28"/>
        </w:rPr>
        <w:t>постигане на устойчиво, съвместимо и справедливо развитие на Община Несебър, основано на културното наследство и изключителната световна стойност (ИСС) на „Старинен град Несебър“.</w:t>
      </w:r>
      <w:r w:rsidRPr="001A1F4A">
        <w:rPr>
          <w:rFonts w:ascii="Times New Roman" w:hAnsi="Times New Roman"/>
          <w:sz w:val="28"/>
        </w:rPr>
        <w:t xml:space="preserve">  </w:t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</w:p>
    <w:p w:rsidR="001A1F4A" w:rsidRPr="001A1F4A" w:rsidRDefault="001A1F4A" w:rsidP="001A1F4A">
      <w:pPr>
        <w:spacing w:after="0" w:line="259" w:lineRule="auto"/>
        <w:ind w:firstLine="708"/>
        <w:jc w:val="both"/>
        <w:rPr>
          <w:rFonts w:ascii="Times New Roman" w:hAnsi="Times New Roman"/>
          <w:sz w:val="28"/>
        </w:rPr>
      </w:pPr>
      <w:r w:rsidRPr="001A1F4A">
        <w:rPr>
          <w:rFonts w:ascii="Times New Roman" w:hAnsi="Times New Roman"/>
          <w:sz w:val="28"/>
        </w:rPr>
        <w:t>Приоритетите и специфичните цели са:</w:t>
      </w:r>
    </w:p>
    <w:p w:rsidR="001A1F4A" w:rsidRPr="001A1F4A" w:rsidRDefault="001A1F4A" w:rsidP="001A1F4A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/>
          <w:sz w:val="28"/>
        </w:rPr>
      </w:pPr>
      <w:r w:rsidRPr="001A1F4A">
        <w:rPr>
          <w:rFonts w:ascii="Times New Roman" w:hAnsi="Times New Roman"/>
          <w:sz w:val="28"/>
        </w:rPr>
        <w:t xml:space="preserve">Приоритет 1 – </w:t>
      </w:r>
      <w:r w:rsidRPr="00A44DB9">
        <w:rPr>
          <w:rFonts w:ascii="Times New Roman" w:hAnsi="Times New Roman"/>
          <w:b/>
          <w:sz w:val="28"/>
        </w:rPr>
        <w:t>Устойчиво развитие на културното наследство</w:t>
      </w:r>
      <w:r w:rsidRPr="001A1F4A">
        <w:rPr>
          <w:rFonts w:ascii="Times New Roman" w:hAnsi="Times New Roman"/>
          <w:sz w:val="28"/>
        </w:rPr>
        <w:t xml:space="preserve">:            Специфична цел 1.1. – Социално приобщаване;              </w:t>
      </w:r>
      <w:r w:rsidRPr="001A1F4A">
        <w:rPr>
          <w:rFonts w:ascii="Times New Roman" w:hAnsi="Times New Roman"/>
          <w:sz w:val="28"/>
        </w:rPr>
        <w:tab/>
        <w:t xml:space="preserve">       </w:t>
      </w:r>
      <w:r w:rsidRPr="001A1F4A">
        <w:rPr>
          <w:rFonts w:ascii="Times New Roman" w:hAnsi="Times New Roman"/>
          <w:sz w:val="28"/>
        </w:rPr>
        <w:tab/>
        <w:t xml:space="preserve">    Специфична цел 1.2. – Балансирано икономическо развитие;</w:t>
      </w:r>
    </w:p>
    <w:p w:rsidR="001A1F4A" w:rsidRPr="001A1F4A" w:rsidRDefault="001A1F4A" w:rsidP="001A1F4A">
      <w:pPr>
        <w:ind w:left="720"/>
        <w:contextualSpacing/>
        <w:jc w:val="both"/>
        <w:rPr>
          <w:rFonts w:ascii="Times New Roman" w:hAnsi="Times New Roman"/>
          <w:sz w:val="28"/>
        </w:rPr>
      </w:pPr>
      <w:r w:rsidRPr="001A1F4A">
        <w:rPr>
          <w:rFonts w:ascii="Times New Roman" w:hAnsi="Times New Roman"/>
          <w:sz w:val="28"/>
        </w:rPr>
        <w:t>Специфична цел 1.3. – Устойчивост на климатични и екологични въздействия;</w:t>
      </w:r>
    </w:p>
    <w:p w:rsidR="001A1F4A" w:rsidRPr="001A1F4A" w:rsidRDefault="001A1F4A" w:rsidP="001A1F4A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/>
          <w:sz w:val="28"/>
        </w:rPr>
      </w:pPr>
      <w:r w:rsidRPr="001A1F4A">
        <w:rPr>
          <w:rFonts w:ascii="Times New Roman" w:hAnsi="Times New Roman"/>
          <w:sz w:val="28"/>
        </w:rPr>
        <w:t xml:space="preserve">Приоритет 2 – </w:t>
      </w:r>
      <w:r w:rsidRPr="00A44DB9">
        <w:rPr>
          <w:rFonts w:ascii="Times New Roman" w:hAnsi="Times New Roman"/>
          <w:b/>
          <w:sz w:val="28"/>
        </w:rPr>
        <w:t>Съвместимо развитие на културното наследство</w:t>
      </w:r>
      <w:r w:rsidRPr="001A1F4A">
        <w:rPr>
          <w:rFonts w:ascii="Times New Roman" w:hAnsi="Times New Roman"/>
          <w:sz w:val="28"/>
        </w:rPr>
        <w:t>:</w:t>
      </w:r>
    </w:p>
    <w:p w:rsidR="001A1F4A" w:rsidRPr="001A1F4A" w:rsidRDefault="001A1F4A" w:rsidP="001A1F4A">
      <w:pPr>
        <w:ind w:left="720"/>
        <w:contextualSpacing/>
        <w:jc w:val="both"/>
        <w:rPr>
          <w:rFonts w:ascii="Times New Roman" w:hAnsi="Times New Roman"/>
          <w:sz w:val="28"/>
        </w:rPr>
      </w:pPr>
      <w:r w:rsidRPr="001A1F4A">
        <w:rPr>
          <w:rFonts w:ascii="Times New Roman" w:hAnsi="Times New Roman"/>
          <w:sz w:val="28"/>
        </w:rPr>
        <w:t>Специфична цел 2.1. – Запазване на живия град, подобряване качеството на живот на местната общност;</w:t>
      </w:r>
    </w:p>
    <w:p w:rsidR="001A1F4A" w:rsidRPr="001A1F4A" w:rsidRDefault="001A1F4A" w:rsidP="001A1F4A">
      <w:pPr>
        <w:ind w:left="720"/>
        <w:contextualSpacing/>
        <w:jc w:val="both"/>
        <w:rPr>
          <w:rFonts w:ascii="Times New Roman" w:hAnsi="Times New Roman"/>
          <w:sz w:val="28"/>
        </w:rPr>
      </w:pPr>
      <w:r w:rsidRPr="001A1F4A">
        <w:rPr>
          <w:rFonts w:ascii="Times New Roman" w:hAnsi="Times New Roman"/>
          <w:sz w:val="28"/>
        </w:rPr>
        <w:lastRenderedPageBreak/>
        <w:t>Специфична цел 2.2. – Опазване на културното наследство на територията на община Несебър и ИСС на „Старинен град Несебър“;</w:t>
      </w:r>
    </w:p>
    <w:p w:rsidR="001A1F4A" w:rsidRPr="001A1F4A" w:rsidRDefault="001A1F4A" w:rsidP="001A1F4A">
      <w:pPr>
        <w:ind w:left="720"/>
        <w:contextualSpacing/>
        <w:jc w:val="both"/>
        <w:rPr>
          <w:rFonts w:ascii="Times New Roman" w:hAnsi="Times New Roman"/>
          <w:sz w:val="28"/>
        </w:rPr>
      </w:pPr>
      <w:r w:rsidRPr="001A1F4A">
        <w:rPr>
          <w:rFonts w:ascii="Times New Roman" w:hAnsi="Times New Roman"/>
          <w:sz w:val="28"/>
        </w:rPr>
        <w:t>Специфична цел 2.3. – Представяне, интерпретиране, валоризация и популяризиране на културното наследство</w:t>
      </w:r>
    </w:p>
    <w:p w:rsidR="001A1F4A" w:rsidRPr="001A1F4A" w:rsidRDefault="001A1F4A" w:rsidP="001A1F4A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hAnsi="Times New Roman"/>
          <w:sz w:val="28"/>
        </w:rPr>
      </w:pPr>
      <w:r w:rsidRPr="001A1F4A">
        <w:rPr>
          <w:rFonts w:ascii="Times New Roman" w:hAnsi="Times New Roman"/>
          <w:sz w:val="28"/>
        </w:rPr>
        <w:t xml:space="preserve">Приоритет 3 – </w:t>
      </w:r>
      <w:r w:rsidRPr="00A44DB9">
        <w:rPr>
          <w:rFonts w:ascii="Times New Roman" w:hAnsi="Times New Roman"/>
          <w:b/>
          <w:sz w:val="28"/>
        </w:rPr>
        <w:t>Справедливо развитие на културното наследство</w:t>
      </w:r>
      <w:r w:rsidRPr="001A1F4A">
        <w:rPr>
          <w:rFonts w:ascii="Times New Roman" w:hAnsi="Times New Roman"/>
          <w:sz w:val="28"/>
        </w:rPr>
        <w:t>:</w:t>
      </w:r>
    </w:p>
    <w:p w:rsidR="001A1F4A" w:rsidRPr="001A1F4A" w:rsidRDefault="001A1F4A" w:rsidP="001A1F4A">
      <w:pPr>
        <w:ind w:left="720"/>
        <w:contextualSpacing/>
        <w:jc w:val="both"/>
        <w:rPr>
          <w:rFonts w:ascii="Times New Roman" w:hAnsi="Times New Roman"/>
          <w:sz w:val="28"/>
        </w:rPr>
      </w:pPr>
      <w:r w:rsidRPr="001A1F4A">
        <w:rPr>
          <w:rFonts w:ascii="Times New Roman" w:hAnsi="Times New Roman"/>
          <w:sz w:val="28"/>
        </w:rPr>
        <w:t>Специфична цел 3.1. – Установяване на добро управление;</w:t>
      </w:r>
    </w:p>
    <w:p w:rsidR="001A1F4A" w:rsidRPr="001A1F4A" w:rsidRDefault="001A1F4A" w:rsidP="001A1F4A">
      <w:pPr>
        <w:ind w:left="720"/>
        <w:contextualSpacing/>
        <w:jc w:val="both"/>
        <w:rPr>
          <w:rFonts w:ascii="Times New Roman" w:hAnsi="Times New Roman"/>
          <w:sz w:val="28"/>
        </w:rPr>
      </w:pPr>
      <w:r w:rsidRPr="001A1F4A">
        <w:rPr>
          <w:rFonts w:ascii="Times New Roman" w:hAnsi="Times New Roman"/>
          <w:sz w:val="28"/>
        </w:rPr>
        <w:t>Специфична цел 3.2. – Насърчаване на интегрирания подход по отношение на наследството;</w:t>
      </w:r>
    </w:p>
    <w:p w:rsidR="001A1F4A" w:rsidRPr="001A1F4A" w:rsidRDefault="001A1F4A" w:rsidP="001A1F4A">
      <w:pPr>
        <w:ind w:left="720"/>
        <w:contextualSpacing/>
        <w:jc w:val="both"/>
        <w:rPr>
          <w:rFonts w:ascii="Times New Roman" w:hAnsi="Times New Roman"/>
          <w:sz w:val="28"/>
        </w:rPr>
      </w:pPr>
      <w:r w:rsidRPr="001A1F4A">
        <w:rPr>
          <w:rFonts w:ascii="Times New Roman" w:hAnsi="Times New Roman"/>
          <w:sz w:val="28"/>
        </w:rPr>
        <w:t>Специфична цел 3.3. – Иновации и достъп до културно наследство;</w:t>
      </w:r>
    </w:p>
    <w:p w:rsidR="001A1F4A" w:rsidRPr="001A1F4A" w:rsidRDefault="001A1F4A" w:rsidP="001A1F4A">
      <w:pPr>
        <w:spacing w:after="160" w:line="259" w:lineRule="auto"/>
        <w:ind w:firstLine="708"/>
        <w:jc w:val="both"/>
        <w:rPr>
          <w:rFonts w:ascii="Times New Roman" w:hAnsi="Times New Roman"/>
          <w:sz w:val="28"/>
        </w:rPr>
      </w:pPr>
      <w:r w:rsidRPr="001A1F4A">
        <w:rPr>
          <w:rFonts w:ascii="Times New Roman" w:hAnsi="Times New Roman"/>
          <w:sz w:val="28"/>
        </w:rPr>
        <w:tab/>
      </w:r>
    </w:p>
    <w:p w:rsidR="001A1F4A" w:rsidRPr="001A1F4A" w:rsidRDefault="001A1F4A" w:rsidP="001A1F4A">
      <w:pPr>
        <w:numPr>
          <w:ilvl w:val="0"/>
          <w:numId w:val="3"/>
        </w:numPr>
        <w:spacing w:after="50" w:line="263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A1F4A">
        <w:rPr>
          <w:rFonts w:ascii="Times New Roman" w:eastAsia="Arial" w:hAnsi="Times New Roman"/>
          <w:b/>
          <w:sz w:val="28"/>
          <w:szCs w:val="28"/>
        </w:rPr>
        <w:t>АНАЛИЗ И ОЦЕНКА НА ПРОМЕНИТЕ В СОЦИАЛНО – ИКОНОМИЧЕСКАТА КОНЮКТУРА В ОБЩИНАТА, ИМАЩИ ВЪЗДЕЙСТВИЕ ВЪРХУ ИЗПЪЛНЕНИЕТО НА  СТРАТЕГИЯТА</w:t>
      </w:r>
    </w:p>
    <w:p w:rsidR="001A1F4A" w:rsidRPr="001A1F4A" w:rsidRDefault="001A1F4A" w:rsidP="001A1F4A">
      <w:pPr>
        <w:spacing w:after="50" w:line="263" w:lineRule="auto"/>
        <w:ind w:left="247"/>
        <w:jc w:val="both"/>
        <w:rPr>
          <w:rFonts w:ascii="Times New Roman" w:hAnsi="Times New Roman"/>
          <w:sz w:val="28"/>
          <w:szCs w:val="28"/>
        </w:rPr>
      </w:pPr>
      <w:r w:rsidRPr="001A1F4A">
        <w:rPr>
          <w:rFonts w:ascii="Times New Roman" w:hAnsi="Times New Roman"/>
          <w:sz w:val="28"/>
          <w:szCs w:val="28"/>
        </w:rPr>
        <w:tab/>
      </w:r>
      <w:r w:rsidRPr="001A1F4A">
        <w:rPr>
          <w:rFonts w:ascii="Times New Roman" w:hAnsi="Times New Roman"/>
          <w:sz w:val="28"/>
          <w:szCs w:val="28"/>
        </w:rPr>
        <w:tab/>
      </w:r>
      <w:r w:rsidRPr="001A1F4A">
        <w:rPr>
          <w:rFonts w:ascii="Times New Roman" w:hAnsi="Times New Roman"/>
          <w:sz w:val="28"/>
          <w:szCs w:val="28"/>
        </w:rPr>
        <w:tab/>
      </w:r>
      <w:r w:rsidRPr="001A1F4A">
        <w:rPr>
          <w:rFonts w:ascii="Times New Roman" w:hAnsi="Times New Roman"/>
          <w:sz w:val="28"/>
          <w:szCs w:val="28"/>
        </w:rPr>
        <w:tab/>
      </w:r>
    </w:p>
    <w:p w:rsidR="001A1F4A" w:rsidRPr="001A1F4A" w:rsidRDefault="001A1F4A" w:rsidP="001A1F4A">
      <w:pPr>
        <w:spacing w:after="160" w:line="259" w:lineRule="auto"/>
        <w:ind w:firstLine="708"/>
        <w:jc w:val="both"/>
        <w:rPr>
          <w:rFonts w:ascii="Times New Roman" w:hAnsi="Times New Roman"/>
          <w:sz w:val="28"/>
        </w:rPr>
      </w:pPr>
      <w:r w:rsidRPr="001A1F4A">
        <w:rPr>
          <w:rFonts w:ascii="Times New Roman" w:hAnsi="Times New Roman"/>
          <w:sz w:val="28"/>
        </w:rPr>
        <w:t>В периода 2023 – 04.2024 г. не са отчетени значителни социално – икономически промени или фактори, които са довели до съществено изменение на условията за изпълнение на „Стратегия за културното наследство на Община Несебър 2023 – 2032“. Актуалната социално – икономическа ситуация в общината затвърждава тенденциите и процесите в демографското, социалното и икономическото развитие през последните години. Не са настъпили нови обстоятелства, които да ограничават възможностите за своевременно изпълнение на приоритетите и целите заложени в стратегията за културното наследство на района.</w:t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>Въпреки тенденцията за положителен механичен прираст в Община Несебър през последните години, общият брой на населението бележи спад, като това се отразява и на спад на населението в трудоспособна възраст.</w:t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 xml:space="preserve">Процесът на застаряване на населението в общината се разкрива още от коефициента на демографското заместване, който измерва съотношението между лицата във възрастовата група от 15 до 19 години и тези от 60 до 64 г. Този коефициентът е 60,96% – на всеки 100 лица, напускащи пазара на труда, съответстват 61 лица, които стават част от работната сила. По този показател община Несебър отбелязва подобрение в сравнение с 2021 г., когато коефициентът е спаднал до 53,27%. Въпреки </w:t>
      </w:r>
      <w:r w:rsidRPr="001A1F4A">
        <w:rPr>
          <w:rFonts w:ascii="Times New Roman" w:hAnsi="Times New Roman"/>
          <w:sz w:val="28"/>
        </w:rPr>
        <w:lastRenderedPageBreak/>
        <w:t>положителната промяна, свързана с миграцията в общината на млади семейства през последните години, коефициентът на демографското заместване остава далеч под стойността от 100%. По този начин трайно е нарушен балансът между започващите работа и навлизащите в пенсионна възраст, което влияе негативно върху осигуреността с кадри за развитие на икономиката и публичните услуги. Това показва, че развитието специално на туристическите дейности през активния летен сезон, когато Община Несебър концентрира най-голям дял от реализираните нощувки в страната, е зависимо от наемането на сезонни работници от други общини.</w:t>
      </w:r>
      <w:r w:rsidRPr="001A1F4A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>Нивото на безработица</w:t>
      </w:r>
      <w:r w:rsidRPr="001A1F4A">
        <w:rPr>
          <w:rFonts w:ascii="Times New Roman" w:hAnsi="Times New Roman"/>
          <w:i/>
          <w:sz w:val="28"/>
        </w:rPr>
        <w:t xml:space="preserve"> </w:t>
      </w:r>
      <w:r w:rsidRPr="001A1F4A">
        <w:rPr>
          <w:rFonts w:ascii="Times New Roman" w:hAnsi="Times New Roman"/>
          <w:sz w:val="28"/>
        </w:rPr>
        <w:t xml:space="preserve">в общината на средно месечна основа през отчитания периода намалява, като това е знак, че общинската икономика успешно е преодолява негативните въздействия в резултат на пандемията от COVID-19. През 2023 г. се отчита значително подобрение по отношение на възможностите за заетост, като в рамките на годината в общината са осигурени 507 свободни работни места. </w:t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A720C0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>В структурно отношение, водещите икономически дейности в общината са „Хотелиерство и ресторантьорство“, „Търговия“ и „Строителство“, като и трите отрасъла са пряко свързани с изявената туристическа роля на района. Община Несебър е най-голямата българска община по брой на реализираните нощувки, като през 2022 г. са осъществени повече от ¼ от всички нощувки в страната. Тези данни показват силно подчертаната зависимост на местната икономика от развитието на туризма. Същевременно туристическите посещения в общината произлизат преди всичко от масовия летен туризъм. Това налага разнообразяване на туристическото предлагане чрез развитие на конкурентоспособни и целогодишни културно – туристически продукти, включително „уикенд туризъм“ на база на изключителната световна стойност на „Старинен град Несебър“.</w:t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  <w:t>През докладвания период няма промени в законодателната и институционална рамка на управление, като управлението на културното наследство се осъществява в съответствие с Конституцията и законите на страната.</w:t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  <w:t xml:space="preserve">Като заключение може да се отбележи че, към момента на разработване на Годишния доклад за наблюдение на изпълнението на дейностите, предвидени в „Стратегия за културното наследство на Община Несебър 2023 – 2032“ не са отчетени сериозни социално – </w:t>
      </w:r>
      <w:r w:rsidRPr="001A1F4A">
        <w:rPr>
          <w:rFonts w:ascii="Times New Roman" w:hAnsi="Times New Roman"/>
          <w:sz w:val="28"/>
        </w:rPr>
        <w:lastRenderedPageBreak/>
        <w:t xml:space="preserve">икономически и политически промени с директно въздействие върху реализацията на стратегическия документ. </w:t>
      </w:r>
    </w:p>
    <w:p w:rsidR="001A1F4A" w:rsidRPr="001A1F4A" w:rsidRDefault="001A1F4A" w:rsidP="001A1F4A">
      <w:pPr>
        <w:spacing w:after="160" w:line="259" w:lineRule="auto"/>
        <w:ind w:firstLine="708"/>
        <w:jc w:val="both"/>
        <w:rPr>
          <w:rFonts w:ascii="Times New Roman" w:hAnsi="Times New Roman"/>
          <w:sz w:val="28"/>
        </w:rPr>
      </w:pPr>
    </w:p>
    <w:p w:rsidR="001A1F4A" w:rsidRPr="001A1F4A" w:rsidRDefault="001A1F4A" w:rsidP="001A1F4A">
      <w:pPr>
        <w:numPr>
          <w:ilvl w:val="0"/>
          <w:numId w:val="3"/>
        </w:numPr>
        <w:spacing w:after="26" w:line="263" w:lineRule="auto"/>
        <w:ind w:right="2"/>
        <w:contextualSpacing/>
        <w:jc w:val="both"/>
        <w:rPr>
          <w:rFonts w:ascii="Times New Roman" w:eastAsia="Arial" w:hAnsi="Times New Roman"/>
          <w:b/>
          <w:color w:val="000000"/>
          <w:sz w:val="28"/>
          <w:szCs w:val="28"/>
          <w:lang w:eastAsia="bg-BG"/>
        </w:rPr>
      </w:pPr>
      <w:r w:rsidRPr="001A1F4A">
        <w:rPr>
          <w:rFonts w:ascii="Times New Roman" w:eastAsia="Arial" w:hAnsi="Times New Roman"/>
          <w:b/>
          <w:color w:val="000000"/>
          <w:sz w:val="28"/>
          <w:szCs w:val="28"/>
          <w:lang w:eastAsia="bg-BG"/>
        </w:rPr>
        <w:t>ИЗПЪЛНЕНИ ПРОЕКТИ/ДЕЙНОСТИ, ДОПРИНАСЯЩИ ЗА ПОСТИГАНЕ НА ПРИОРИТЕТИТЕ И СПЕЦИФИЧНИТЕ ЦЕЛИ НА СТРАТЕГИЯТА</w:t>
      </w:r>
    </w:p>
    <w:p w:rsidR="001A1F4A" w:rsidRPr="001A1F4A" w:rsidRDefault="001A1F4A" w:rsidP="001A1F4A">
      <w:pPr>
        <w:spacing w:after="26" w:line="263" w:lineRule="auto"/>
        <w:ind w:left="247" w:right="2"/>
        <w:jc w:val="both"/>
        <w:rPr>
          <w:rFonts w:ascii="Times New Roman" w:hAnsi="Times New Roman"/>
          <w:sz w:val="28"/>
        </w:rPr>
      </w:pP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</w:p>
    <w:p w:rsidR="001A1F4A" w:rsidRPr="001A1F4A" w:rsidRDefault="001A1F4A" w:rsidP="001A1F4A">
      <w:pPr>
        <w:spacing w:after="160" w:line="259" w:lineRule="auto"/>
        <w:ind w:firstLine="708"/>
        <w:jc w:val="both"/>
        <w:rPr>
          <w:rFonts w:ascii="Times New Roman" w:hAnsi="Times New Roman"/>
          <w:sz w:val="28"/>
        </w:rPr>
      </w:pPr>
      <w:r w:rsidRPr="001A1F4A">
        <w:rPr>
          <w:rFonts w:ascii="Times New Roman" w:hAnsi="Times New Roman"/>
          <w:sz w:val="28"/>
        </w:rPr>
        <w:t>Приоритет 1.</w:t>
      </w:r>
      <w:r w:rsidRPr="001A1F4A">
        <w:rPr>
          <w:rFonts w:ascii="Times New Roman" w:hAnsi="Times New Roman"/>
          <w:b/>
          <w:sz w:val="28"/>
        </w:rPr>
        <w:t xml:space="preserve"> „Устойчиво развитие на културното наследство“</w:t>
      </w:r>
      <w:r w:rsidRPr="001A1F4A">
        <w:rPr>
          <w:rFonts w:ascii="Times New Roman" w:hAnsi="Times New Roman"/>
          <w:sz w:val="28"/>
        </w:rPr>
        <w:t xml:space="preserve"> </w:t>
      </w:r>
    </w:p>
    <w:p w:rsidR="001A1F4A" w:rsidRPr="001224DA" w:rsidRDefault="001A1F4A" w:rsidP="001224DA">
      <w:pPr>
        <w:spacing w:after="160" w:line="259" w:lineRule="auto"/>
        <w:ind w:firstLine="708"/>
        <w:jc w:val="both"/>
        <w:rPr>
          <w:rFonts w:ascii="Times New Roman" w:hAnsi="Times New Roman"/>
          <w:sz w:val="28"/>
        </w:rPr>
      </w:pPr>
      <w:r w:rsidRPr="001A1F4A">
        <w:rPr>
          <w:rFonts w:ascii="Times New Roman" w:hAnsi="Times New Roman"/>
          <w:sz w:val="28"/>
        </w:rPr>
        <w:t>Цел 1.1</w:t>
      </w:r>
      <w:r w:rsidRPr="001A1F4A">
        <w:rPr>
          <w:rFonts w:ascii="Times New Roman" w:hAnsi="Times New Roman"/>
          <w:b/>
          <w:sz w:val="28"/>
        </w:rPr>
        <w:t xml:space="preserve"> „Социално приобщаване“ </w:t>
      </w:r>
      <w:r w:rsidRPr="001A1F4A">
        <w:rPr>
          <w:rFonts w:ascii="Times New Roman" w:hAnsi="Times New Roman"/>
          <w:sz w:val="28"/>
        </w:rPr>
        <w:t xml:space="preserve">и индикатор за изпълнение на стратегията </w:t>
      </w:r>
      <w:r w:rsidRPr="001A1F4A">
        <w:rPr>
          <w:rFonts w:ascii="Times New Roman" w:hAnsi="Times New Roman"/>
          <w:b/>
          <w:sz w:val="28"/>
        </w:rPr>
        <w:t xml:space="preserve">„Проведени инициативи, в т.ч. обучения и публични лектории, насочени към младежката аудитория и др.“ </w:t>
      </w:r>
      <w:r w:rsidRPr="001A1F4A">
        <w:rPr>
          <w:rFonts w:ascii="Times New Roman" w:hAnsi="Times New Roman"/>
          <w:sz w:val="28"/>
        </w:rPr>
        <w:t>в рамките на периода са проведени 2 бр. мероприятия, като целевата стойност за целия стратегически период е 5 бр. мероприятия:</w:t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  <w:t>На 08 – 10.11.2023 г. бе проведено</w:t>
      </w:r>
      <w:r w:rsidRPr="001A1F4A">
        <w:rPr>
          <w:rFonts w:ascii="Times New Roman" w:hAnsi="Times New Roman"/>
          <w:sz w:val="28"/>
          <w:lang w:val="en-US"/>
        </w:rPr>
        <w:t xml:space="preserve"> тридневно тематично обучение по проект „Ревитализирани пространства в световната културна ценност Старинен град Несебър – Етнографски музей“ за 10 служители от ръководния и експертен персонал на бенефициента, в областта на културното наследство</w:t>
      </w:r>
      <w:r w:rsidRPr="001A1F4A">
        <w:rPr>
          <w:rFonts w:ascii="Times New Roman" w:hAnsi="Times New Roman"/>
          <w:sz w:val="28"/>
        </w:rPr>
        <w:t>.</w:t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  <w:t>На 28 – 29.03.2024 г. бе проведена научно – практична конферен</w:t>
      </w:r>
      <w:r w:rsidR="001224DA">
        <w:rPr>
          <w:rFonts w:ascii="Times New Roman" w:hAnsi="Times New Roman"/>
          <w:sz w:val="28"/>
        </w:rPr>
        <w:t xml:space="preserve">ция под наслов „Музеология на 2 – </w:t>
      </w:r>
      <w:r w:rsidRPr="001A1F4A">
        <w:rPr>
          <w:rFonts w:ascii="Times New Roman" w:hAnsi="Times New Roman"/>
          <w:sz w:val="28"/>
        </w:rPr>
        <w:t xml:space="preserve">ви век“ в рамките на проект </w:t>
      </w:r>
      <w:r w:rsidRPr="001A1F4A">
        <w:rPr>
          <w:rFonts w:ascii="Times New Roman" w:hAnsi="Times New Roman"/>
          <w:sz w:val="28"/>
          <w:lang w:val="en-US"/>
        </w:rPr>
        <w:t>BGCULTURE-1.001-0003-C01 „Ревитализирани пространства в световната културна ценност Старинен град Несебър – Етнографски музей“</w:t>
      </w:r>
      <w:r w:rsidRPr="001A1F4A">
        <w:rPr>
          <w:rFonts w:ascii="Times New Roman" w:hAnsi="Times New Roman"/>
          <w:sz w:val="28"/>
        </w:rPr>
        <w:t>. Проектът е финансиран по Програма „Културно предприемачество, наследство и сътрудничество” на ФМ на ЕИП 2014 – 2021 г. Целта на конференцията бе представяне на постигнатите резултати, обсъждане сред специализирана публика на предизвикателствата пред музейното дело в настоящето, поставяне на новата музеология в по</w:t>
      </w:r>
      <w:r w:rsidR="001224DA">
        <w:rPr>
          <w:rFonts w:ascii="Times New Roman" w:hAnsi="Times New Roman"/>
          <w:sz w:val="28"/>
        </w:rPr>
        <w:t xml:space="preserve"> – </w:t>
      </w:r>
      <w:r w:rsidRPr="001A1F4A">
        <w:rPr>
          <w:rFonts w:ascii="Times New Roman" w:hAnsi="Times New Roman"/>
          <w:sz w:val="28"/>
        </w:rPr>
        <w:t>широк контекст, използването на културното наследство като катализатор на местното развитие, поле за взаимодействие и двигател на дигитализационния процес. В конференцията участваха представители на научните среди и музейното дело от областта, ученическа и студентска аудитория и местни жители.</w:t>
      </w:r>
      <w:r w:rsidRPr="001A1F4A">
        <w:rPr>
          <w:rFonts w:ascii="Times New Roman" w:hAnsi="Times New Roman"/>
          <w:sz w:val="28"/>
        </w:rPr>
        <w:tab/>
        <w:t xml:space="preserve"> </w:t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 xml:space="preserve">На 29.03.2024 г. бяха проведени демонстрации и практически занимания в изцяло обновения и дигитализиран Етнографски музей – Несебър и провеждане на открити уроци по история в археологически музей Несебър за деца от училищата с концентрация на уязвими групи, с цел постигане на по-добрата интеграция на децата в местната и </w:t>
      </w:r>
      <w:r w:rsidRPr="001A1F4A">
        <w:rPr>
          <w:rFonts w:ascii="Times New Roman" w:hAnsi="Times New Roman"/>
          <w:sz w:val="28"/>
        </w:rPr>
        <w:lastRenderedPageBreak/>
        <w:t>националната общност. Това образователно занимание отразява изпълнението на мероприятие по Приоритет 1.</w:t>
      </w:r>
      <w:r w:rsidRPr="001A1F4A">
        <w:rPr>
          <w:rFonts w:ascii="Times New Roman" w:hAnsi="Times New Roman"/>
          <w:b/>
          <w:sz w:val="28"/>
        </w:rPr>
        <w:t xml:space="preserve"> „Устойчиво развитие на културното наследство“</w:t>
      </w:r>
      <w:r w:rsidRPr="001A1F4A">
        <w:rPr>
          <w:rFonts w:ascii="Times New Roman" w:hAnsi="Times New Roman"/>
          <w:sz w:val="28"/>
        </w:rPr>
        <w:t>, Цел 1.1.</w:t>
      </w:r>
      <w:r w:rsidRPr="001A1F4A">
        <w:rPr>
          <w:rFonts w:ascii="Times New Roman" w:hAnsi="Times New Roman"/>
          <w:b/>
          <w:sz w:val="28"/>
        </w:rPr>
        <w:t xml:space="preserve"> „Социално приобщаване“ </w:t>
      </w:r>
      <w:r w:rsidRPr="001A1F4A">
        <w:rPr>
          <w:rFonts w:ascii="Times New Roman" w:hAnsi="Times New Roman"/>
          <w:sz w:val="28"/>
        </w:rPr>
        <w:t xml:space="preserve">и индикатор за изпълнение на стратегията </w:t>
      </w:r>
      <w:r w:rsidRPr="001A1F4A">
        <w:rPr>
          <w:rFonts w:ascii="Times New Roman" w:hAnsi="Times New Roman"/>
          <w:b/>
          <w:sz w:val="28"/>
        </w:rPr>
        <w:t>„Проведени събития за социално приобщаване, в т.ч. информационни кампании, публични изяви и др.</w:t>
      </w:r>
      <w:r w:rsidRPr="001A1F4A">
        <w:rPr>
          <w:rFonts w:ascii="Times New Roman" w:hAnsi="Times New Roman"/>
          <w:sz w:val="28"/>
        </w:rPr>
        <w:t>, като целевата стойност за стратегическия период е 2 бр. мероприятия.</w:t>
      </w:r>
      <w:r w:rsidRPr="001A1F4A">
        <w:rPr>
          <w:rFonts w:ascii="Times New Roman" w:hAnsi="Times New Roman"/>
          <w:sz w:val="28"/>
        </w:rPr>
        <w:tab/>
      </w:r>
    </w:p>
    <w:p w:rsidR="001A1F4A" w:rsidRPr="001A1F4A" w:rsidRDefault="001A1F4A" w:rsidP="001A1F4A">
      <w:pPr>
        <w:spacing w:after="160" w:line="259" w:lineRule="auto"/>
        <w:jc w:val="both"/>
        <w:rPr>
          <w:rFonts w:ascii="Times New Roman" w:hAnsi="Times New Roman"/>
          <w:sz w:val="28"/>
        </w:rPr>
      </w:pPr>
      <w:r w:rsidRPr="001A1F4A">
        <w:rPr>
          <w:rFonts w:ascii="Times New Roman" w:hAnsi="Times New Roman"/>
          <w:sz w:val="28"/>
        </w:rPr>
        <w:tab/>
        <w:t>Цел</w:t>
      </w:r>
      <w:r w:rsidRPr="001A1F4A">
        <w:rPr>
          <w:rFonts w:ascii="Times New Roman" w:hAnsi="Times New Roman"/>
          <w:b/>
          <w:sz w:val="28"/>
        </w:rPr>
        <w:t xml:space="preserve"> </w:t>
      </w:r>
      <w:r w:rsidRPr="001A1F4A">
        <w:rPr>
          <w:rFonts w:ascii="Times New Roman" w:hAnsi="Times New Roman"/>
          <w:sz w:val="28"/>
        </w:rPr>
        <w:t>1.2.</w:t>
      </w:r>
      <w:r w:rsidRPr="001A1F4A">
        <w:rPr>
          <w:rFonts w:ascii="Times New Roman" w:hAnsi="Times New Roman"/>
          <w:b/>
          <w:sz w:val="28"/>
        </w:rPr>
        <w:t xml:space="preserve"> Балансирано икономическо развитие“ </w:t>
      </w:r>
      <w:r w:rsidRPr="001A1F4A">
        <w:rPr>
          <w:rFonts w:ascii="Times New Roman" w:hAnsi="Times New Roman"/>
          <w:sz w:val="28"/>
        </w:rPr>
        <w:t xml:space="preserve">и индикатор за изпълнение на стратегията </w:t>
      </w:r>
      <w:r w:rsidRPr="001A1F4A">
        <w:rPr>
          <w:rFonts w:ascii="Times New Roman" w:hAnsi="Times New Roman"/>
          <w:b/>
          <w:sz w:val="28"/>
        </w:rPr>
        <w:t xml:space="preserve">„Развити нови проекти/ дейности от местната рибарска инициативна група“ </w:t>
      </w:r>
      <w:r w:rsidRPr="001A1F4A">
        <w:rPr>
          <w:rFonts w:ascii="Times New Roman" w:hAnsi="Times New Roman"/>
          <w:sz w:val="28"/>
        </w:rPr>
        <w:t xml:space="preserve"> са извършени 4 мероприятия, като целевата стойност за периода е 3 бр.</w:t>
      </w:r>
      <w:r w:rsidRPr="001A1F4A">
        <w:rPr>
          <w:rFonts w:ascii="Times New Roman" w:hAnsi="Times New Roman"/>
          <w:sz w:val="28"/>
          <w:lang w:val="en-US"/>
        </w:rPr>
        <w:tab/>
      </w:r>
      <w:r w:rsidRPr="001A1F4A">
        <w:rPr>
          <w:rFonts w:ascii="Times New Roman" w:hAnsi="Times New Roman"/>
          <w:sz w:val="28"/>
          <w:lang w:val="en-US"/>
        </w:rPr>
        <w:tab/>
      </w:r>
      <w:r w:rsidRPr="001A1F4A">
        <w:rPr>
          <w:rFonts w:ascii="Times New Roman" w:hAnsi="Times New Roman"/>
          <w:sz w:val="28"/>
          <w:lang w:val="en-US"/>
        </w:rPr>
        <w:tab/>
      </w:r>
      <w:r w:rsidRPr="001A1F4A">
        <w:rPr>
          <w:rFonts w:ascii="Times New Roman" w:hAnsi="Times New Roman"/>
          <w:sz w:val="28"/>
          <w:lang w:val="en-US"/>
        </w:rPr>
        <w:tab/>
      </w:r>
      <w:r w:rsidRPr="001A1F4A">
        <w:rPr>
          <w:rFonts w:ascii="Times New Roman" w:hAnsi="Times New Roman"/>
          <w:sz w:val="28"/>
          <w:lang w:val="en-US"/>
        </w:rPr>
        <w:tab/>
      </w:r>
      <w:r w:rsidRPr="001A1F4A">
        <w:rPr>
          <w:rFonts w:ascii="Times New Roman" w:hAnsi="Times New Roman"/>
          <w:sz w:val="28"/>
          <w:lang w:val="en-US"/>
        </w:rPr>
        <w:tab/>
      </w:r>
      <w:r w:rsidRPr="001A1F4A">
        <w:rPr>
          <w:rFonts w:ascii="Times New Roman" w:hAnsi="Times New Roman"/>
          <w:sz w:val="28"/>
          <w:lang w:val="en-US"/>
        </w:rPr>
        <w:tab/>
      </w:r>
      <w:r w:rsidRPr="001A1F4A">
        <w:rPr>
          <w:rFonts w:ascii="Times New Roman" w:hAnsi="Times New Roman"/>
          <w:sz w:val="28"/>
        </w:rPr>
        <w:t>По проект BG14MFOP001-4.124-0001 „Създаване на нова услуга за почистване и поддържане акваторията на рибарско пристанище „Северна буна“ – Несебър“ – е доставен специализиран плавателен съд, предназначен за извършване на регулярно почистване на оперативната акватория на пристанището от разливи на масла и горива, наноси, водорасли и други течни или твърди отпадъци. Предвижда се непрекъснат мониторинг на водата в района на пристанището.</w:t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>По проект BG14MFOP001-1.027-0005 „Инвестиции в съществуващо рибарско пристанище – Северна буна Несебър“ по същата програма Община Несебър дооборудва реконструираното рибарско пристанище с електрокар за разтоварване на улов и извършване на ремонтни дейности по плавателните съдове, техника за видеонаблюдение на рибарските съоръжения в реално време, метеостанция ,която дава информация за температура на въздуха , влажност, сила , посока на вятъра и вълнението в акваторията, както и допълнително оборудване тип „киоск” за непрекъснат информационен обмен в услуга на рибарската общност.</w:t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>По проект BG14MFOP001-4.124-0002-C02 Създаване на нова услуга в образователната сред</w:t>
      </w:r>
      <w:r w:rsidR="00A5279F">
        <w:rPr>
          <w:rFonts w:ascii="Times New Roman" w:hAnsi="Times New Roman"/>
          <w:sz w:val="28"/>
        </w:rPr>
        <w:t>а в рибарската територия –</w:t>
      </w:r>
      <w:r w:rsidRPr="001A1F4A">
        <w:rPr>
          <w:rFonts w:ascii="Times New Roman" w:hAnsi="Times New Roman"/>
          <w:sz w:val="28"/>
        </w:rPr>
        <w:t xml:space="preserve"> благоустрояване на дворно пространство в ОУ "Св. св. Кирил и Методий" в село Гюльовца са извършвани строително – монтажни работи за изграждане на спортно поле и кът за отдих в двора на училището. Извършено е почистване на стара асфалтова настилка, направа на фундаменти, полагане на твърда асфалтобетонна и след това специализирана изкуствена настилка, доставка и монтаж на спортно оборудване и пейки с обща пергола.</w:t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 xml:space="preserve">По проект BG14MFOP001-4.123-0001-C02 Реконструкция на ул. „Месамбрия“ /частично – о.т. 92- о.т. 93 – о.т. 98 – о.т. 60 – о.т. 60 – о.т. </w:t>
      </w:r>
      <w:r w:rsidRPr="001A1F4A">
        <w:rPr>
          <w:rFonts w:ascii="Times New Roman" w:hAnsi="Times New Roman"/>
          <w:sz w:val="28"/>
        </w:rPr>
        <w:lastRenderedPageBreak/>
        <w:t>59 – о.т. 58 – о.т. 50/ гр. Несебър – част от туристическа атракция „Духовен път“. Дейността е пряко свързана със стратегия на Община Несебър за опазване на изключителната световна стойност и културно наследство. Тя включва оформяне на главните пешеходни трасета с настилки от периода на Възраждането – подмяна на съществуващите настилки от асфалт по улиците и бетонови плочи по тротоарите с нови такива от сечен камък, каменни плочи и гранитни бордюри.</w:t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</w:p>
    <w:p w:rsidR="001A1F4A" w:rsidRPr="001A1F4A" w:rsidRDefault="001A1F4A" w:rsidP="001A1F4A">
      <w:pPr>
        <w:spacing w:after="160" w:line="259" w:lineRule="auto"/>
        <w:ind w:firstLine="708"/>
        <w:jc w:val="both"/>
        <w:rPr>
          <w:rFonts w:ascii="Times New Roman" w:hAnsi="Times New Roman"/>
          <w:b/>
          <w:sz w:val="28"/>
        </w:rPr>
      </w:pPr>
      <w:r w:rsidRPr="001A1F4A">
        <w:rPr>
          <w:rFonts w:ascii="Times New Roman" w:hAnsi="Times New Roman"/>
          <w:sz w:val="28"/>
        </w:rPr>
        <w:t>Приоритет 2.</w:t>
      </w:r>
      <w:r w:rsidRPr="001A1F4A">
        <w:rPr>
          <w:rFonts w:ascii="Times New Roman" w:hAnsi="Times New Roman"/>
          <w:b/>
          <w:sz w:val="28"/>
        </w:rPr>
        <w:t xml:space="preserve"> „Съвместно развитие на културното наследство“</w:t>
      </w:r>
    </w:p>
    <w:p w:rsidR="001A1F4A" w:rsidRPr="001A1F4A" w:rsidRDefault="001A1F4A" w:rsidP="001A1F4A">
      <w:pPr>
        <w:spacing w:after="160" w:line="259" w:lineRule="auto"/>
        <w:ind w:firstLine="708"/>
        <w:jc w:val="both"/>
        <w:rPr>
          <w:rFonts w:ascii="Times New Roman" w:hAnsi="Times New Roman"/>
          <w:b/>
          <w:sz w:val="28"/>
        </w:rPr>
      </w:pPr>
      <w:r w:rsidRPr="001A1F4A">
        <w:rPr>
          <w:rFonts w:ascii="Times New Roman" w:hAnsi="Times New Roman"/>
          <w:sz w:val="28"/>
        </w:rPr>
        <w:t>Цел 2.3.</w:t>
      </w:r>
      <w:r w:rsidRPr="001A1F4A">
        <w:rPr>
          <w:rFonts w:ascii="Times New Roman" w:hAnsi="Times New Roman"/>
          <w:b/>
          <w:sz w:val="28"/>
        </w:rPr>
        <w:t xml:space="preserve"> Представяне, интерпретиране, валоризация и популяризиране на КН“ </w:t>
      </w:r>
      <w:r w:rsidRPr="001A1F4A">
        <w:rPr>
          <w:rFonts w:ascii="Times New Roman" w:hAnsi="Times New Roman"/>
          <w:sz w:val="28"/>
        </w:rPr>
        <w:t xml:space="preserve">и индикатор за изпълнение на стратегията </w:t>
      </w:r>
      <w:r w:rsidRPr="001A1F4A">
        <w:rPr>
          <w:rFonts w:ascii="Times New Roman" w:hAnsi="Times New Roman"/>
          <w:b/>
          <w:sz w:val="28"/>
        </w:rPr>
        <w:t xml:space="preserve">„Създадени дигитални визуализации, </w:t>
      </w:r>
      <w:r w:rsidRPr="001A1F4A">
        <w:rPr>
          <w:rFonts w:ascii="Times New Roman" w:hAnsi="Times New Roman"/>
          <w:b/>
          <w:sz w:val="28"/>
          <w:lang w:val="en-US"/>
        </w:rPr>
        <w:t>VR</w:t>
      </w:r>
      <w:r w:rsidRPr="001A1F4A">
        <w:rPr>
          <w:rFonts w:ascii="Times New Roman" w:hAnsi="Times New Roman"/>
          <w:b/>
          <w:sz w:val="28"/>
        </w:rPr>
        <w:t xml:space="preserve"> и </w:t>
      </w:r>
      <w:r w:rsidRPr="001A1F4A">
        <w:rPr>
          <w:rFonts w:ascii="Times New Roman" w:hAnsi="Times New Roman"/>
          <w:b/>
          <w:sz w:val="28"/>
          <w:lang w:val="en-US"/>
        </w:rPr>
        <w:t>AR,</w:t>
      </w:r>
      <w:r w:rsidRPr="001A1F4A">
        <w:rPr>
          <w:rFonts w:ascii="Times New Roman" w:hAnsi="Times New Roman"/>
          <w:b/>
          <w:sz w:val="28"/>
        </w:rPr>
        <w:t xml:space="preserve"> заснемане 360⁰; геймифициране на забележителни места“ </w:t>
      </w:r>
      <w:r w:rsidRPr="001A1F4A">
        <w:rPr>
          <w:rFonts w:ascii="Times New Roman" w:hAnsi="Times New Roman"/>
          <w:sz w:val="28"/>
        </w:rPr>
        <w:t>е изпълнен 1 бр. проект, като целевата стойност за периода на стратегията е 3 бр.</w:t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b/>
          <w:sz w:val="28"/>
        </w:rPr>
        <w:tab/>
      </w:r>
      <w:r w:rsidRPr="001A1F4A">
        <w:rPr>
          <w:rFonts w:ascii="Times New Roman" w:hAnsi="Times New Roman"/>
          <w:b/>
          <w:sz w:val="28"/>
        </w:rPr>
        <w:tab/>
      </w:r>
      <w:r w:rsidRPr="001A1F4A">
        <w:rPr>
          <w:rFonts w:ascii="Times New Roman" w:hAnsi="Times New Roman"/>
          <w:sz w:val="28"/>
        </w:rPr>
        <w:t>Реализираният проект е „Ревитализирани пространства в световната културна ценност Старинен град Несебър – Етнографски музей“, в рамките на който е инсталирано интерактивно пано „Несебърски къщи“. Музея е обзаведен с таблети и отварящи се шкафове за геймифициране на експозицията. В рамките на същия проекта са заснети и публикувани видео материали посветени съответно на Археологически музей “Старинен Несебър”</w:t>
      </w:r>
      <w:r w:rsidRPr="001A1F4A">
        <w:rPr>
          <w:rFonts w:ascii="Times New Roman" w:hAnsi="Times New Roman"/>
          <w:sz w:val="28"/>
          <w:vertAlign w:val="superscript"/>
        </w:rPr>
        <w:footnoteReference w:id="1"/>
      </w:r>
      <w:r w:rsidRPr="001A1F4A">
        <w:rPr>
          <w:rFonts w:ascii="Times New Roman" w:hAnsi="Times New Roman"/>
          <w:sz w:val="28"/>
        </w:rPr>
        <w:t xml:space="preserve"> и възрожденски къщи в града</w:t>
      </w:r>
      <w:r w:rsidRPr="001A1F4A">
        <w:rPr>
          <w:rFonts w:ascii="Times New Roman" w:hAnsi="Times New Roman"/>
          <w:sz w:val="28"/>
          <w:vertAlign w:val="superscript"/>
        </w:rPr>
        <w:footnoteReference w:id="2"/>
      </w:r>
      <w:r w:rsidRPr="001A1F4A">
        <w:rPr>
          <w:rFonts w:ascii="Times New Roman" w:hAnsi="Times New Roman"/>
          <w:sz w:val="28"/>
        </w:rPr>
        <w:t>.</w:t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>С изпълнението на този проект се осъществява и реализацията по П</w:t>
      </w:r>
      <w:r w:rsidRPr="001A1F4A">
        <w:rPr>
          <w:rFonts w:ascii="Times New Roman" w:hAnsi="Times New Roman"/>
          <w:sz w:val="28"/>
          <w:lang w:val="en-US"/>
        </w:rPr>
        <w:t xml:space="preserve">риоритет </w:t>
      </w:r>
      <w:r w:rsidRPr="001A1F4A">
        <w:rPr>
          <w:rFonts w:ascii="Times New Roman" w:hAnsi="Times New Roman"/>
          <w:sz w:val="28"/>
        </w:rPr>
        <w:t>2.</w:t>
      </w:r>
      <w:r w:rsidRPr="001A1F4A">
        <w:rPr>
          <w:rFonts w:ascii="Times New Roman" w:hAnsi="Times New Roman"/>
          <w:b/>
          <w:sz w:val="28"/>
        </w:rPr>
        <w:t xml:space="preserve"> „Съвместно развитие на културното наследство“, </w:t>
      </w:r>
      <w:r w:rsidRPr="001A1F4A">
        <w:rPr>
          <w:rFonts w:ascii="Times New Roman" w:hAnsi="Times New Roman"/>
          <w:sz w:val="28"/>
        </w:rPr>
        <w:t>Цел 2.3.</w:t>
      </w:r>
      <w:r w:rsidRPr="001A1F4A">
        <w:rPr>
          <w:rFonts w:ascii="Times New Roman" w:hAnsi="Times New Roman"/>
          <w:b/>
          <w:sz w:val="28"/>
        </w:rPr>
        <w:t xml:space="preserve"> Представяне, интерпретиране, валоризация и популяризиране на КН“ </w:t>
      </w:r>
      <w:r w:rsidRPr="001A1F4A">
        <w:rPr>
          <w:rFonts w:ascii="Times New Roman" w:hAnsi="Times New Roman"/>
          <w:sz w:val="28"/>
        </w:rPr>
        <w:t xml:space="preserve">и индикатор за изпълнение на стратегията </w:t>
      </w:r>
      <w:r w:rsidRPr="001A1F4A">
        <w:rPr>
          <w:rFonts w:ascii="Times New Roman" w:hAnsi="Times New Roman"/>
          <w:b/>
          <w:sz w:val="28"/>
        </w:rPr>
        <w:t>„Брой нови/реновирани музейни пространства“</w:t>
      </w:r>
      <w:r w:rsidRPr="001A1F4A">
        <w:rPr>
          <w:rFonts w:ascii="Times New Roman" w:hAnsi="Times New Roman"/>
          <w:sz w:val="28"/>
        </w:rPr>
        <w:t>, като целевата стойност за периода на стратегията е 2 бр.</w:t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</w:p>
    <w:p w:rsidR="001A1F4A" w:rsidRPr="001A1F4A" w:rsidRDefault="001A1F4A" w:rsidP="001A1F4A">
      <w:pPr>
        <w:spacing w:after="160" w:line="259" w:lineRule="auto"/>
        <w:ind w:firstLine="348"/>
        <w:jc w:val="both"/>
        <w:rPr>
          <w:rFonts w:ascii="Times New Roman" w:hAnsi="Times New Roman"/>
          <w:b/>
          <w:sz w:val="28"/>
        </w:rPr>
      </w:pPr>
      <w:r w:rsidRPr="001A1F4A">
        <w:rPr>
          <w:rFonts w:ascii="Times New Roman" w:hAnsi="Times New Roman"/>
          <w:sz w:val="28"/>
        </w:rPr>
        <w:t>Приоритет 3.</w:t>
      </w:r>
      <w:r w:rsidRPr="001A1F4A">
        <w:rPr>
          <w:rFonts w:ascii="Times New Roman" w:hAnsi="Times New Roman"/>
          <w:b/>
          <w:sz w:val="28"/>
        </w:rPr>
        <w:t xml:space="preserve"> „Справедливо развитие на културното наследство“ </w:t>
      </w:r>
    </w:p>
    <w:p w:rsidR="001A1F4A" w:rsidRPr="001A1F4A" w:rsidRDefault="001A1F4A" w:rsidP="001A1F4A">
      <w:pPr>
        <w:spacing w:after="160" w:line="259" w:lineRule="auto"/>
        <w:ind w:firstLine="348"/>
        <w:jc w:val="both"/>
        <w:rPr>
          <w:rFonts w:ascii="Times New Roman" w:hAnsi="Times New Roman"/>
          <w:sz w:val="28"/>
        </w:rPr>
      </w:pPr>
      <w:r w:rsidRPr="001A1F4A">
        <w:rPr>
          <w:rFonts w:ascii="Times New Roman" w:hAnsi="Times New Roman"/>
          <w:sz w:val="28"/>
        </w:rPr>
        <w:t>Цел 3.2.</w:t>
      </w:r>
      <w:r w:rsidRPr="001A1F4A">
        <w:rPr>
          <w:rFonts w:ascii="Times New Roman" w:hAnsi="Times New Roman"/>
          <w:b/>
          <w:sz w:val="28"/>
        </w:rPr>
        <w:t xml:space="preserve"> Насърчаване на интегрирания подход по отношение на наследството“ </w:t>
      </w:r>
      <w:r w:rsidRPr="001A1F4A">
        <w:rPr>
          <w:rFonts w:ascii="Times New Roman" w:hAnsi="Times New Roman"/>
          <w:sz w:val="28"/>
        </w:rPr>
        <w:t xml:space="preserve">и индикатор за изпълнение на стратегията </w:t>
      </w:r>
      <w:r w:rsidRPr="001A1F4A">
        <w:rPr>
          <w:rFonts w:ascii="Times New Roman" w:hAnsi="Times New Roman"/>
          <w:b/>
          <w:sz w:val="28"/>
        </w:rPr>
        <w:t xml:space="preserve">„Изготвени и реализирани интегрирани териториални инициативи (ИТИ)“ </w:t>
      </w:r>
      <w:r w:rsidRPr="001A1F4A">
        <w:rPr>
          <w:rFonts w:ascii="Times New Roman" w:hAnsi="Times New Roman"/>
          <w:sz w:val="28"/>
        </w:rPr>
        <w:t>са представени три концепции, като с това се изпълнява целевата стойност в рамките на стратегията.</w:t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lastRenderedPageBreak/>
        <w:tab/>
        <w:t xml:space="preserve">Концепцията за ИТИ с вх. рег. №BG16FFPR003-2.001-0076,  „Интегрирани териториални инвестиции – заедно към устойчив растеж“ е първата от трите. Тя включва развитието на туристическата инфраструктура и туризма на територията на общините Несебър, Созопол и Бургас, приобщаващо образование в областта на туризма в ИТИ, мерки за превенция и управление на риска от наводнения, подобряване на квалификацията на млади безработни или икономически неактивни лица и подкрепа за подобряване достъпа до заетост, умения и квалификация за уязвими групи. </w:t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  <w:t xml:space="preserve">Втората концепция за ИТИ с вх. рег. №BG16FFPR003-2.001-0010, „Намаляване на вторичното разпрашаване и замърсяване на въздуха в община Несебър, чрез създаване на зелена инфраструктура в градска среда“ цели постигане на подобряване качеството на атмосферния въздух, чрез инвестиции в растителни видове с най – висока степен на ефективност по отношение улавянето на фините прахови частици и пречистването на въздуха по естествен път. Дейностите предвидени в проектното предложение са в съответствие с мерки, включени в плана за действие към Програмата за подобряване качеството на атмосферния въздух в община Несебър за периода 2023-2027 г. В плана за действие е предвидена мярка реализиране на проект „Залесяване/затревяване и облагородяване на крайпътни и междублокови пространства, паркове, зелени покриви, включително интелигентни зелени решения“, която цели намаляване на емисиите от ресуспендиране на частици от площни източници на територията на общината. </w:t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>Третата концепция за ИТИ с вх. рег. №BG16FFPR003-2.001-0034, „Модернизиране на образователна, спортна и туристическа инфраструктура – важен фактор за развитието на качеството на човешкия капитал и конкурентоспособността на Югоизточен регион“ включва изпълнението на следните дейности: Модернизиране на водна учебна база на НСА в гр. Несебър; Модернизация на образователната среда и подобряване на инфраструктурата на територията на Спортно училище „Димитър Рохов“ – гр. Сливен; Изграждане на посетителски център за представяне и експониране на местното природно и културно наследство в гр. Несебър; Изготвяне на комплексни програми за десегрегация, превенция на вторична сегрегация против дискриминация – на територията на община Сливен и община Несебър.</w:t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</w:p>
    <w:p w:rsidR="001A1F4A" w:rsidRPr="001A1F4A" w:rsidRDefault="001A1F4A" w:rsidP="001A1F4A">
      <w:pPr>
        <w:spacing w:after="160" w:line="259" w:lineRule="auto"/>
        <w:ind w:firstLine="708"/>
        <w:jc w:val="both"/>
        <w:rPr>
          <w:rFonts w:ascii="Times New Roman" w:hAnsi="Times New Roman"/>
          <w:sz w:val="28"/>
        </w:rPr>
      </w:pPr>
      <w:r w:rsidRPr="001A1F4A">
        <w:rPr>
          <w:rFonts w:ascii="Times New Roman" w:hAnsi="Times New Roman"/>
          <w:sz w:val="28"/>
        </w:rPr>
        <w:t>Цел 3.3.</w:t>
      </w:r>
      <w:r w:rsidRPr="001A1F4A">
        <w:rPr>
          <w:rFonts w:ascii="Times New Roman" w:hAnsi="Times New Roman"/>
          <w:b/>
          <w:sz w:val="28"/>
        </w:rPr>
        <w:t xml:space="preserve"> „Иновации и достъп до културно наследство“ </w:t>
      </w:r>
      <w:r w:rsidRPr="001A1F4A">
        <w:rPr>
          <w:rFonts w:ascii="Times New Roman" w:hAnsi="Times New Roman"/>
          <w:sz w:val="28"/>
        </w:rPr>
        <w:t xml:space="preserve">и индикатор за изпълнение на стратегията </w:t>
      </w:r>
      <w:r w:rsidRPr="001A1F4A">
        <w:rPr>
          <w:rFonts w:ascii="Times New Roman" w:hAnsi="Times New Roman"/>
          <w:b/>
          <w:sz w:val="28"/>
        </w:rPr>
        <w:t xml:space="preserve">„Създадени дигитални </w:t>
      </w:r>
      <w:r w:rsidRPr="001A1F4A">
        <w:rPr>
          <w:rFonts w:ascii="Times New Roman" w:hAnsi="Times New Roman"/>
          <w:b/>
          <w:sz w:val="28"/>
        </w:rPr>
        <w:lastRenderedPageBreak/>
        <w:t xml:space="preserve">платформи за всички типове наследство“ </w:t>
      </w:r>
      <w:r w:rsidRPr="001A1F4A">
        <w:rPr>
          <w:rFonts w:ascii="Times New Roman" w:hAnsi="Times New Roman"/>
          <w:sz w:val="28"/>
        </w:rPr>
        <w:t>е създадена платформа за представяне на цифровизирани обекти (археологически артефакти, паметници на културата)</w:t>
      </w:r>
      <w:r w:rsidRPr="001A1F4A">
        <w:rPr>
          <w:rFonts w:ascii="Times New Roman" w:hAnsi="Times New Roman"/>
          <w:sz w:val="28"/>
          <w:lang w:val="en-US"/>
        </w:rPr>
        <w:t xml:space="preserve">, </w:t>
      </w:r>
      <w:r w:rsidRPr="001A1F4A">
        <w:rPr>
          <w:rFonts w:ascii="Times New Roman" w:hAnsi="Times New Roman"/>
          <w:sz w:val="28"/>
        </w:rPr>
        <w:t>вкл. 3</w:t>
      </w:r>
      <w:r w:rsidRPr="001A1F4A">
        <w:rPr>
          <w:rFonts w:ascii="Times New Roman" w:hAnsi="Times New Roman"/>
          <w:sz w:val="28"/>
          <w:lang w:val="en-US"/>
        </w:rPr>
        <w:t xml:space="preserve">D </w:t>
      </w:r>
      <w:r w:rsidRPr="001A1F4A">
        <w:rPr>
          <w:rFonts w:ascii="Times New Roman" w:hAnsi="Times New Roman"/>
          <w:sz w:val="28"/>
        </w:rPr>
        <w:t>модели</w:t>
      </w:r>
      <w:r w:rsidRPr="001A1F4A">
        <w:rPr>
          <w:rFonts w:ascii="Times New Roman" w:hAnsi="Times New Roman"/>
          <w:sz w:val="28"/>
          <w:vertAlign w:val="superscript"/>
        </w:rPr>
        <w:footnoteReference w:id="3"/>
      </w:r>
      <w:r w:rsidRPr="001A1F4A">
        <w:rPr>
          <w:rFonts w:ascii="Times New Roman" w:hAnsi="Times New Roman"/>
          <w:sz w:val="28"/>
        </w:rPr>
        <w:t xml:space="preserve">, по проект </w:t>
      </w:r>
      <w:r w:rsidRPr="001A1F4A">
        <w:rPr>
          <w:rFonts w:ascii="Times New Roman" w:hAnsi="Times New Roman"/>
          <w:sz w:val="28"/>
          <w:lang w:val="en-US"/>
        </w:rPr>
        <w:t xml:space="preserve">BSB867 </w:t>
      </w:r>
      <w:r w:rsidRPr="001A1F4A">
        <w:rPr>
          <w:rFonts w:ascii="Times New Roman" w:hAnsi="Times New Roman"/>
          <w:sz w:val="28"/>
        </w:rPr>
        <w:t>„Черноморски портал за археология, история и култура“</w:t>
      </w:r>
      <w:r w:rsidRPr="001A1F4A">
        <w:rPr>
          <w:rFonts w:ascii="Times New Roman" w:hAnsi="Times New Roman"/>
          <w:sz w:val="28"/>
          <w:lang w:val="en-US"/>
        </w:rPr>
        <w:t xml:space="preserve"> </w:t>
      </w:r>
      <w:r w:rsidRPr="001A1F4A">
        <w:rPr>
          <w:rFonts w:ascii="Times New Roman" w:hAnsi="Times New Roman"/>
          <w:sz w:val="28"/>
        </w:rPr>
        <w:t xml:space="preserve">финансиран по СОП „Черноморски басейн 2014-2020“.   </w:t>
      </w:r>
      <w:r w:rsidRPr="001A1F4A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>Платформата е разработена в партньорство с музеи партньори от Румъния и Молдова, които споделят на нея свое диг</w:t>
      </w:r>
      <w:r w:rsidR="00A5279F">
        <w:rPr>
          <w:rFonts w:ascii="Times New Roman" w:hAnsi="Times New Roman"/>
          <w:sz w:val="28"/>
        </w:rPr>
        <w:t>итално съдържание. З</w:t>
      </w:r>
      <w:r w:rsidRPr="001A1F4A">
        <w:rPr>
          <w:rFonts w:ascii="Times New Roman" w:hAnsi="Times New Roman"/>
          <w:sz w:val="28"/>
        </w:rPr>
        <w:t>акупено</w:t>
      </w:r>
      <w:r w:rsidR="00A5279F">
        <w:rPr>
          <w:rFonts w:ascii="Times New Roman" w:hAnsi="Times New Roman"/>
          <w:sz w:val="28"/>
        </w:rPr>
        <w:t xml:space="preserve"> е</w:t>
      </w:r>
      <w:r w:rsidRPr="001A1F4A">
        <w:rPr>
          <w:rFonts w:ascii="Times New Roman" w:hAnsi="Times New Roman"/>
          <w:sz w:val="28"/>
        </w:rPr>
        <w:t xml:space="preserve"> стационарно и мобилно оборудване за цифровизиране на културно наследство.</w:t>
      </w:r>
      <w:r w:rsidR="00A5279F">
        <w:rPr>
          <w:rFonts w:ascii="Times New Roman" w:hAnsi="Times New Roman"/>
          <w:sz w:val="28"/>
        </w:rPr>
        <w:t xml:space="preserve"> С изпълнението на проекта се постига целевата стойност заложена в стратегията.</w:t>
      </w:r>
      <w:r w:rsidRPr="001A1F4A">
        <w:rPr>
          <w:rFonts w:ascii="Times New Roman" w:hAnsi="Times New Roman"/>
          <w:sz w:val="28"/>
          <w:lang w:val="en-US"/>
        </w:rPr>
        <w:t xml:space="preserve"> </w:t>
      </w:r>
      <w:r w:rsidRPr="001A1F4A">
        <w:rPr>
          <w:rFonts w:ascii="Times New Roman" w:hAnsi="Times New Roman"/>
          <w:sz w:val="28"/>
        </w:rPr>
        <w:t xml:space="preserve">  </w:t>
      </w:r>
    </w:p>
    <w:p w:rsidR="001A1F4A" w:rsidRPr="001A1F4A" w:rsidRDefault="001A1F4A" w:rsidP="001A1F4A">
      <w:pPr>
        <w:spacing w:after="160" w:line="259" w:lineRule="auto"/>
        <w:jc w:val="both"/>
        <w:rPr>
          <w:rFonts w:ascii="Times New Roman" w:hAnsi="Times New Roman"/>
          <w:sz w:val="28"/>
        </w:rPr>
      </w:pPr>
      <w:r w:rsidRPr="001A1F4A">
        <w:rPr>
          <w:rFonts w:ascii="Times New Roman" w:hAnsi="Times New Roman"/>
          <w:sz w:val="28"/>
        </w:rPr>
        <w:t xml:space="preserve">  </w:t>
      </w:r>
    </w:p>
    <w:p w:rsidR="001A1F4A" w:rsidRDefault="001A1F4A" w:rsidP="001A1F4A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/>
          <w:sz w:val="28"/>
        </w:rPr>
      </w:pPr>
      <w:r w:rsidRPr="001A1F4A">
        <w:rPr>
          <w:rFonts w:ascii="Times New Roman" w:hAnsi="Times New Roman"/>
          <w:b/>
          <w:sz w:val="28"/>
        </w:rPr>
        <w:t>ПРОЕКТНИ ИНИЦИАТИВИ И СТАТУС НА РЕАЛИЗАЦИЯ НА „КОНЦЕПЦИЯ ЗА ОПАЗВАНЕ НА КУЛТУРНОТО НАСЛЕДСТВО“, ИЗГОТВЕНА ЗА КАНДИДАТСТВАНЕ НА „СТАРИНЕН ГРАД НЕСЕБЪР“ ПО ОП „РЕГИОНИ В РАСТЕЖ” 2014 – 2020, (ПРИЛОЖЕНИЕ 7.8. ОТ „СТРАТЕГИЯ ЗА КУЛТУРНО НАСЛЕДСТВО НА ОБЩИНА НЕСЕБЪР 2023 – 2032)</w:t>
      </w:r>
      <w:r w:rsidRPr="001A1F4A">
        <w:rPr>
          <w:rFonts w:ascii="Times New Roman" w:hAnsi="Times New Roman"/>
          <w:sz w:val="28"/>
        </w:rPr>
        <w:t xml:space="preserve">  </w:t>
      </w:r>
    </w:p>
    <w:p w:rsidR="0082692F" w:rsidRPr="001A1F4A" w:rsidRDefault="0082692F" w:rsidP="0082692F">
      <w:pPr>
        <w:spacing w:after="160" w:line="259" w:lineRule="auto"/>
        <w:contextualSpacing/>
        <w:jc w:val="both"/>
        <w:rPr>
          <w:rFonts w:ascii="Times New Roman" w:hAnsi="Times New Roman"/>
          <w:sz w:val="28"/>
        </w:rPr>
      </w:pPr>
    </w:p>
    <w:p w:rsidR="001A1F4A" w:rsidRDefault="001A1F4A" w:rsidP="000234CF">
      <w:pPr>
        <w:spacing w:after="160" w:line="259" w:lineRule="auto"/>
        <w:ind w:firstLine="708"/>
        <w:jc w:val="both"/>
        <w:rPr>
          <w:rFonts w:ascii="Times New Roman" w:hAnsi="Times New Roman"/>
          <w:sz w:val="28"/>
        </w:rPr>
      </w:pPr>
      <w:r w:rsidRPr="001A1F4A">
        <w:rPr>
          <w:rFonts w:ascii="Times New Roman" w:hAnsi="Times New Roman"/>
          <w:sz w:val="28"/>
        </w:rPr>
        <w:t>Концепцията е изготвена през 2019 г. с цел кандидатстване за финансиране по Оперативна програма „Региони в растеж” 2014–2020 г. по процедура BG16R</w:t>
      </w:r>
      <w:r w:rsidR="000234CF">
        <w:rPr>
          <w:rFonts w:ascii="Times New Roman" w:hAnsi="Times New Roman"/>
          <w:sz w:val="28"/>
        </w:rPr>
        <w:t>FOP001–</w:t>
      </w:r>
      <w:r w:rsidRPr="001A1F4A">
        <w:rPr>
          <w:rFonts w:ascii="Times New Roman" w:hAnsi="Times New Roman"/>
          <w:sz w:val="28"/>
        </w:rPr>
        <w:t>6.002 „Развитие на туристически атракции“. В нея са включени следните проектни инициативи: проектно предложение за възвръщане на каменната настилка по улиците на Старинния град; проектно предложение за поставянето на преместваеми обекти „Базар и парково пространство" и 16 проектни предложения за извършване на дейности по обекта НКЦ, както следва: 5 обекта, част от археологическото КН; 7 бр. средновековни църкви; къща Москояни, в която е поместен Етнографския музей (експозиция) към музей „Старинен Несебър“; две от вятърните мелници и чешмата при Старата Митрополия.</w:t>
      </w:r>
      <w:r w:rsidR="0082692F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 xml:space="preserve">Ос 6 на ОП „Региони в растеж” 2014 – 2020 година е предсрочно прекратена поради изчерпване на финансовия ресурс, поради което концепцията на Община Несебър не е финансирана. </w:t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  <w:t xml:space="preserve">Независимо от това, Община Несебър е съгласувала задания за всичките проектни инициативи, осигурява поетапно алтернативно финансиране за реализация на обектите и е стартирала изпълнението на </w:t>
      </w:r>
      <w:r w:rsidRPr="001A1F4A">
        <w:rPr>
          <w:rFonts w:ascii="Times New Roman" w:hAnsi="Times New Roman"/>
          <w:sz w:val="28"/>
        </w:rPr>
        <w:lastRenderedPageBreak/>
        <w:t xml:space="preserve">Програмата. За 3 годишния период от нейното изготвяне вече 28% от инициативите са вече реализирани или в процес на реализация, част от които с финансовата подкрепа на НИНКН и Норвежкия финансов механизъм, а 11% са със съгласувани проекти / разрешения за строеж. </w:t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  <w:t>До момента са реализирани следните обекти:</w:t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b/>
          <w:sz w:val="28"/>
        </w:rPr>
        <w:t>- Етнографски музей</w:t>
      </w:r>
      <w:r w:rsidRPr="001A1F4A">
        <w:rPr>
          <w:rFonts w:ascii="Times New Roman" w:hAnsi="Times New Roman"/>
          <w:sz w:val="28"/>
        </w:rPr>
        <w:t>, в ПИ 51500. 501.412 по одобрена КК на гр.Несебър, УПИ I , кв. 34 по плана на гр. Несебър, №19 по Опорен план – изпълнен с осигурено външно финансиране по Програма „Културно предприемачество, наследство и сътрудничество“.</w:t>
      </w:r>
      <w:r w:rsidRPr="001A1F4A">
        <w:rPr>
          <w:rFonts w:ascii="Times New Roman" w:hAnsi="Times New Roman"/>
          <w:b/>
          <w:sz w:val="28"/>
        </w:rPr>
        <w:t xml:space="preserve"> </w:t>
      </w:r>
      <w:r w:rsidRPr="001A1F4A">
        <w:rPr>
          <w:rFonts w:ascii="Times New Roman" w:hAnsi="Times New Roman"/>
          <w:sz w:val="28"/>
        </w:rPr>
        <w:t>Обхвата на дейност по музея са реставрация, консервация, експониране и социализация. Дизайн на информационни елементи и популяризиране на обекта. Естетизиране и социализиране на зоната около паметника и двора, създаване на достъпна среда. Създаване на нова функция в съществуващите складови помещения и развиването им в Музеен център за работа с деца;</w:t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b/>
          <w:sz w:val="28"/>
        </w:rPr>
        <w:t>- Чешма</w:t>
      </w:r>
      <w:r w:rsidRPr="001A1F4A">
        <w:rPr>
          <w:rFonts w:ascii="Times New Roman" w:hAnsi="Times New Roman"/>
          <w:sz w:val="28"/>
        </w:rPr>
        <w:t>, ПИ 51500.501.263 по одобрена КК на гр. Несебър, второстепенна улица по плана на гр. Несебър, №74 по Опорен план – изпълнен авариен ремонт със собствени средства.</w:t>
      </w:r>
      <w:r w:rsidRPr="001A1F4A">
        <w:rPr>
          <w:rFonts w:ascii="Times New Roman" w:hAnsi="Times New Roman"/>
          <w:b/>
          <w:sz w:val="28"/>
        </w:rPr>
        <w:t xml:space="preserve"> </w:t>
      </w:r>
      <w:r w:rsidRPr="001A1F4A">
        <w:rPr>
          <w:rFonts w:ascii="Times New Roman" w:hAnsi="Times New Roman"/>
          <w:sz w:val="28"/>
        </w:rPr>
        <w:t>Обхвата на дейност по обекта са реставрация и консервация. Дизайн на информационни елементи и популяризиране на обекта. Естетизиране и социализиране на зоната около културната ценност;</w:t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b/>
          <w:sz w:val="28"/>
        </w:rPr>
        <w:t>- Вятърна мелница на провлака</w:t>
      </w:r>
      <w:r w:rsidRPr="001A1F4A">
        <w:rPr>
          <w:rFonts w:ascii="Times New Roman" w:hAnsi="Times New Roman"/>
          <w:sz w:val="28"/>
        </w:rPr>
        <w:t xml:space="preserve"> в ПИ51500. 501.484 по одобрена КК на гр. Несебър, №109 по Опорен план. Извършени са консервация, реставрация със собствени средства. Във вятърната мелница е експонирана  изложбата "Богатствата на античния некропол на Месамбрия". Показани са артефакти, открити в некропола на античната гръцка колония Месамбрия, които датират от периода пети век пр.н.е. до трети век от н.е., включително до римския период;</w:t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 xml:space="preserve">- </w:t>
      </w:r>
      <w:r w:rsidRPr="001A1F4A">
        <w:rPr>
          <w:rFonts w:ascii="Times New Roman" w:hAnsi="Times New Roman"/>
          <w:b/>
          <w:sz w:val="28"/>
        </w:rPr>
        <w:t>Подмяна на останалата асфалтова настилка</w:t>
      </w:r>
      <w:r w:rsidRPr="001A1F4A">
        <w:rPr>
          <w:rFonts w:ascii="Times New Roman" w:hAnsi="Times New Roman"/>
          <w:sz w:val="28"/>
        </w:rPr>
        <w:t xml:space="preserve"> по всички улици и крайбрежната алея, съгласно одобрени трасета – I етап, II етап, III етап и съгласно одобрена схема за обект: Трасе на културно-исторически маршрут „Духовен път" , подобект „Реконструкция на улична мрежа" – остатъка от трасетата от „Духовен път“ са реализирани с финансовата подкрепа от Програма за морско дело и рибарство 2014–2020 г., настилката на крайбрежната алея се подменя със собствени средства;</w:t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b/>
          <w:sz w:val="28"/>
        </w:rPr>
        <w:t>- Вятърна мелница до църква „Елеуса“</w:t>
      </w:r>
      <w:r w:rsidRPr="001A1F4A">
        <w:rPr>
          <w:rFonts w:ascii="Times New Roman" w:hAnsi="Times New Roman"/>
          <w:sz w:val="28"/>
        </w:rPr>
        <w:t xml:space="preserve">, ПИ51500. 501.515 по одобрена КК на гр. Несебър, УПИ I–4,7, кв. 18a по плана на гр. Несебър, №15 по Опорен план – обекта е предложен за финансиране по Програма за трасгранично сътрудничество „България – Турция“, проекта е включен </w:t>
      </w:r>
      <w:r w:rsidRPr="001A1F4A">
        <w:rPr>
          <w:rFonts w:ascii="Times New Roman" w:hAnsi="Times New Roman"/>
          <w:sz w:val="28"/>
        </w:rPr>
        <w:lastRenderedPageBreak/>
        <w:t>в резервен списък;</w:t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b/>
          <w:sz w:val="28"/>
        </w:rPr>
        <w:t>- Църква „Св. Тодор“</w:t>
      </w:r>
      <w:r w:rsidRPr="001A1F4A">
        <w:rPr>
          <w:rFonts w:ascii="Times New Roman" w:hAnsi="Times New Roman"/>
          <w:sz w:val="28"/>
        </w:rPr>
        <w:t xml:space="preserve">, в ПИ51500.501.179 по одобрена КК на гр.Несебър, УПИ I, кв. 20 по плана на гр. Несебър, №13 по Опорен план; </w:t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b/>
          <w:sz w:val="28"/>
        </w:rPr>
        <w:t>- Църква „Св. Св. Архангели Михаил и Гавраил“</w:t>
      </w:r>
      <w:r w:rsidRPr="001A1F4A">
        <w:rPr>
          <w:rFonts w:ascii="Times New Roman" w:hAnsi="Times New Roman"/>
          <w:sz w:val="28"/>
        </w:rPr>
        <w:t>, ПИ 51500. 501.104 по одобрена КК на гр. Несебър, УПИ IV , кв. 10 по плана на гр. Несебър, №5 по Опорен план;</w:t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b/>
          <w:sz w:val="28"/>
        </w:rPr>
        <w:t>- Църква „Христос Пантократор“</w:t>
      </w:r>
      <w:r w:rsidRPr="001A1F4A">
        <w:rPr>
          <w:rFonts w:ascii="Times New Roman" w:hAnsi="Times New Roman"/>
          <w:sz w:val="28"/>
        </w:rPr>
        <w:t>, в ПИ 51500. 501.321 по одобрена КК на гр.Несебър, УПИ I, кв. 56 ,№10 по Опорен план;</w:t>
      </w:r>
      <w:r w:rsidR="0082692F">
        <w:rPr>
          <w:rFonts w:ascii="Times New Roman" w:hAnsi="Times New Roman"/>
          <w:sz w:val="28"/>
        </w:rPr>
        <w:t xml:space="preserve"> </w:t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>За последните три обекта обхвата на проектна дейност са реставрация, консервация, експониране и социализация. Предложено е финансиране в рамките на Концепция „Интегрирани териториални инвестиции – заедно към устойчив растеж“. В момента проектните предложения се оценяват.</w:t>
      </w:r>
    </w:p>
    <w:p w:rsidR="0082692F" w:rsidRPr="001A1F4A" w:rsidRDefault="0082692F" w:rsidP="001A1F4A">
      <w:pPr>
        <w:spacing w:after="160" w:line="259" w:lineRule="auto"/>
        <w:ind w:firstLine="708"/>
        <w:jc w:val="both"/>
        <w:rPr>
          <w:rFonts w:ascii="Times New Roman" w:hAnsi="Times New Roman"/>
          <w:sz w:val="28"/>
        </w:rPr>
      </w:pPr>
    </w:p>
    <w:p w:rsidR="001A1F4A" w:rsidRPr="0082692F" w:rsidRDefault="001A1F4A" w:rsidP="0082692F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/>
          <w:b/>
          <w:sz w:val="28"/>
          <w:lang w:val="en-US"/>
        </w:rPr>
      </w:pPr>
      <w:r w:rsidRPr="001A1F4A">
        <w:rPr>
          <w:rFonts w:ascii="Times New Roman" w:hAnsi="Times New Roman"/>
          <w:b/>
          <w:sz w:val="28"/>
        </w:rPr>
        <w:t>ДРУГИ ДЕЙНОСТИ И МЕРОПРИЯТИЯ, ДОПРИНАСЯЩИ, ПОПУЛЯРИЗИРАНЕТО, ОПАЗВАНЕТО И УСТОЙЧИВОТО РАЗВИТИЕ НА КУЛТУРНОТО НАСЛЕДСТВО НА ОБЩИНА НЕСЕБЪР</w:t>
      </w:r>
    </w:p>
    <w:p w:rsidR="0082692F" w:rsidRPr="001A1F4A" w:rsidRDefault="0082692F" w:rsidP="0082692F">
      <w:pPr>
        <w:spacing w:after="160" w:line="259" w:lineRule="auto"/>
        <w:ind w:left="360"/>
        <w:contextualSpacing/>
        <w:jc w:val="both"/>
        <w:rPr>
          <w:rFonts w:ascii="Times New Roman" w:hAnsi="Times New Roman"/>
          <w:b/>
          <w:sz w:val="28"/>
          <w:lang w:val="en-US"/>
        </w:rPr>
      </w:pPr>
    </w:p>
    <w:p w:rsidR="001A1F4A" w:rsidRDefault="001A1F4A" w:rsidP="0082692F">
      <w:pPr>
        <w:spacing w:after="160" w:line="259" w:lineRule="auto"/>
        <w:ind w:firstLine="708"/>
        <w:jc w:val="both"/>
        <w:rPr>
          <w:rFonts w:ascii="Times New Roman" w:hAnsi="Times New Roman"/>
          <w:sz w:val="28"/>
        </w:rPr>
      </w:pPr>
      <w:r w:rsidRPr="001A1F4A">
        <w:rPr>
          <w:rFonts w:ascii="Times New Roman" w:hAnsi="Times New Roman"/>
          <w:sz w:val="28"/>
        </w:rPr>
        <w:t>Община Несебър организира, участва и партнира</w:t>
      </w:r>
      <w:r w:rsidRPr="001A1F4A">
        <w:rPr>
          <w:rFonts w:ascii="Times New Roman" w:hAnsi="Times New Roman"/>
          <w:color w:val="FF0000"/>
          <w:sz w:val="28"/>
        </w:rPr>
        <w:t xml:space="preserve"> </w:t>
      </w:r>
      <w:r w:rsidRPr="001A1F4A">
        <w:rPr>
          <w:rFonts w:ascii="Times New Roman" w:hAnsi="Times New Roman"/>
          <w:sz w:val="28"/>
        </w:rPr>
        <w:t>различни културни мероприятия, като изложби, фестивали, конкурси, представяне на книги, излъчване на филми и др., фокусиращи вниманието върху културно – историческото наследство на територията на района.</w:t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>На 24.11.2023 г. в Артиум център бе представена изложба на тема „Старинен град Несебър – синергия на нематериално, материално и подводно културно наследство“. Изложбата е посветена на четиридесетата годишнина от вписването на „Старинен град Несебър“ в Списъка на световното културно и природно наследство на ЮНЕСКО и представи културни ценности и тяхната синергия в контекста на Конвенцията за опазване на световното културно и природно наследство (1972 г.), Конвенцията за опазване на подводното културно наследство (2001 г.) и Конвенцията за опазване на нематериалното културно наследство (2003 г.). Подборът на визуалните материали и научните текстове акцентират на многообразието от наследства и културни ценности, носители на памет за различни култури и чиито материални и нематериални следи са интригуващо вписани в историческата градска среда.</w:t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lastRenderedPageBreak/>
        <w:tab/>
      </w:r>
      <w:r w:rsidRPr="001A1F4A">
        <w:rPr>
          <w:rFonts w:ascii="Times New Roman" w:hAnsi="Times New Roman"/>
          <w:sz w:val="28"/>
        </w:rPr>
        <w:t>Събитието бе организирано в партньорство на Община Несебър със Софийския университет „Св. Климент Охридски“, Център за реставрация на художествени ценности – София и Център за подводна археология, и бе под патронажа на Националната</w:t>
      </w:r>
      <w:r w:rsidR="00D12DF0">
        <w:rPr>
          <w:rFonts w:ascii="Times New Roman" w:hAnsi="Times New Roman"/>
          <w:sz w:val="28"/>
        </w:rPr>
        <w:t xml:space="preserve"> комисия</w:t>
      </w:r>
      <w:r w:rsidRPr="001A1F4A">
        <w:rPr>
          <w:rFonts w:ascii="Times New Roman" w:hAnsi="Times New Roman"/>
          <w:sz w:val="28"/>
        </w:rPr>
        <w:t xml:space="preserve"> на Република България за ЮНЕСКО, Министерството на културата и Регионалния център за опазване на нематериалното културно наследство в Югоизточна Европа под егидата на ЮНЕ</w:t>
      </w:r>
      <w:r w:rsidR="005A7381">
        <w:rPr>
          <w:rFonts w:ascii="Times New Roman" w:hAnsi="Times New Roman"/>
          <w:sz w:val="28"/>
        </w:rPr>
        <w:t>СКО. Изложбата бе финансирана</w:t>
      </w:r>
      <w:r w:rsidRPr="001A1F4A">
        <w:rPr>
          <w:rFonts w:ascii="Times New Roman" w:hAnsi="Times New Roman"/>
          <w:sz w:val="28"/>
        </w:rPr>
        <w:t>, като част от дейностите по проект „</w:t>
      </w:r>
      <w:r w:rsidRPr="001A1F4A">
        <w:rPr>
          <w:rFonts w:ascii="Times New Roman" w:hAnsi="Times New Roman"/>
          <w:sz w:val="28"/>
          <w:lang w:val="en-US"/>
        </w:rPr>
        <w:t>CultUrEn –</w:t>
      </w:r>
      <w:r w:rsidRPr="001A1F4A">
        <w:rPr>
          <w:rFonts w:ascii="Times New Roman" w:hAnsi="Times New Roman"/>
          <w:sz w:val="28"/>
        </w:rPr>
        <w:t xml:space="preserve"> културното наследство като фактор за постигане на устойчива градска среда” на фонд „Научни изследвания“ към МОН.</w:t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>В рамките на същото събитие бе организиран и форум „Старинен град Несебър и неговото недвижимо културно наследство“, на който бе представена дигиталната платформа „Месембрия“ и бе проведена дискусия на тема „Предизвикателството да живееш в град със световно културно наследство – с особен фокус върху местната младежка общност“.</w:t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 xml:space="preserve">Дебатът бе насочен към търсене на между – секторно и междуинституционално полезно взаимодействие с цел повишаване на информираността и ангажираността към културното наследство на старинния град на младежката общност. </w:t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  <w:t>На 29.11.2023 г. в Артиум център журналистът Милена Милотинова представи за първи път пред публика документалният си филм „Несебър – познат и непознат“, придружен с изложба и книга със същото заглавие.</w:t>
      </w:r>
      <w:r w:rsidRPr="001A1F4A">
        <w:rPr>
          <w:rFonts w:ascii="Times New Roman" w:hAnsi="Times New Roman"/>
          <w:sz w:val="28"/>
        </w:rPr>
        <w:tab/>
        <w:t xml:space="preserve">Целта на събитието бе да популяризират културно – историческото наследство, традиции, обичаи и поминък на територията на Община Несебър чрез аудиовизуално изкуство, да представят неразкрити истории на местни рибари, уредници на музеи и църковни деятели за скритите богатства на красивия морски античен град. </w:t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  <w:t xml:space="preserve">Събитието бе по проект „Популяризиране на културно – историческото наследство, традиции, обичаи и поминък на територията на Община Несебър чрез аудиовизуално изкуство“, финансиран по програма „Морско дело и рибарство“ 2014 – 2020 г. по процедура чрез подбор на проекти </w:t>
      </w:r>
      <w:r w:rsidRPr="001A1F4A">
        <w:rPr>
          <w:rFonts w:ascii="Times New Roman" w:hAnsi="Times New Roman"/>
          <w:sz w:val="28"/>
          <w:lang w:val="en-US"/>
        </w:rPr>
        <w:t>BG</w:t>
      </w:r>
      <w:r w:rsidRPr="001A1F4A">
        <w:rPr>
          <w:rFonts w:ascii="Times New Roman" w:hAnsi="Times New Roman"/>
          <w:sz w:val="28"/>
        </w:rPr>
        <w:t>14</w:t>
      </w:r>
      <w:r w:rsidRPr="001A1F4A">
        <w:rPr>
          <w:rFonts w:ascii="Times New Roman" w:hAnsi="Times New Roman"/>
          <w:sz w:val="28"/>
          <w:lang w:val="en-US"/>
        </w:rPr>
        <w:t xml:space="preserve">MFOP001 – 4.112 – </w:t>
      </w:r>
      <w:r w:rsidRPr="001A1F4A">
        <w:rPr>
          <w:rFonts w:ascii="Times New Roman" w:hAnsi="Times New Roman"/>
          <w:sz w:val="28"/>
        </w:rPr>
        <w:t xml:space="preserve">Мярка 3.2. „Популяризиране на местните ресурси и подкрепа за развитието на дребно – мащабна инфраструктура“ в МИГ „Несебър – Месемврия“. </w:t>
      </w:r>
    </w:p>
    <w:p w:rsidR="0082692F" w:rsidRDefault="0082692F" w:rsidP="0082692F">
      <w:pPr>
        <w:spacing w:after="160" w:line="259" w:lineRule="auto"/>
        <w:ind w:firstLine="708"/>
        <w:jc w:val="both"/>
        <w:rPr>
          <w:rFonts w:ascii="Times New Roman" w:hAnsi="Times New Roman"/>
          <w:sz w:val="28"/>
        </w:rPr>
      </w:pPr>
    </w:p>
    <w:p w:rsidR="00191222" w:rsidRDefault="00191222" w:rsidP="0082692F">
      <w:pPr>
        <w:spacing w:after="160" w:line="259" w:lineRule="auto"/>
        <w:ind w:firstLine="708"/>
        <w:jc w:val="both"/>
        <w:rPr>
          <w:rFonts w:ascii="Times New Roman" w:hAnsi="Times New Roman"/>
          <w:sz w:val="28"/>
        </w:rPr>
      </w:pPr>
    </w:p>
    <w:p w:rsidR="00AB15BE" w:rsidRPr="001A1F4A" w:rsidRDefault="00AB15BE" w:rsidP="0082692F">
      <w:pPr>
        <w:spacing w:after="160" w:line="259" w:lineRule="auto"/>
        <w:ind w:firstLine="708"/>
        <w:jc w:val="both"/>
        <w:rPr>
          <w:rFonts w:ascii="Times New Roman" w:hAnsi="Times New Roman"/>
          <w:sz w:val="28"/>
        </w:rPr>
      </w:pPr>
    </w:p>
    <w:p w:rsidR="001A1F4A" w:rsidRPr="0082692F" w:rsidRDefault="001A1F4A" w:rsidP="001A1F4A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hAnsi="Times New Roman"/>
          <w:b/>
          <w:sz w:val="28"/>
          <w:lang w:val="en-US"/>
        </w:rPr>
      </w:pPr>
      <w:r w:rsidRPr="001A1F4A">
        <w:rPr>
          <w:rFonts w:ascii="Times New Roman" w:hAnsi="Times New Roman"/>
          <w:b/>
          <w:sz w:val="28"/>
        </w:rPr>
        <w:lastRenderedPageBreak/>
        <w:t>ИЗВОДИ И ПРЕПОРЪКИ</w:t>
      </w:r>
    </w:p>
    <w:p w:rsidR="0082692F" w:rsidRPr="001A1F4A" w:rsidRDefault="0082692F" w:rsidP="0082692F">
      <w:pPr>
        <w:spacing w:after="160" w:line="259" w:lineRule="auto"/>
        <w:ind w:left="360"/>
        <w:contextualSpacing/>
        <w:jc w:val="both"/>
        <w:rPr>
          <w:rFonts w:ascii="Times New Roman" w:hAnsi="Times New Roman"/>
          <w:b/>
          <w:sz w:val="28"/>
          <w:lang w:val="en-US"/>
        </w:rPr>
      </w:pPr>
    </w:p>
    <w:p w:rsidR="001A1F4A" w:rsidRPr="001A1F4A" w:rsidRDefault="001A1F4A" w:rsidP="001A1F4A">
      <w:pPr>
        <w:spacing w:after="160" w:line="259" w:lineRule="auto"/>
        <w:ind w:firstLine="708"/>
        <w:jc w:val="both"/>
        <w:rPr>
          <w:rFonts w:ascii="Times New Roman" w:hAnsi="Times New Roman"/>
          <w:sz w:val="28"/>
        </w:rPr>
      </w:pPr>
      <w:r w:rsidRPr="001A1F4A">
        <w:rPr>
          <w:rFonts w:ascii="Times New Roman" w:hAnsi="Times New Roman"/>
          <w:sz w:val="28"/>
        </w:rPr>
        <w:t xml:space="preserve">Опазването и популяризирането на  културното наследство, търсенето на баланс между съхранението, ефективно използване на ресурсите и превенция, адекватен отговор на потенциалните рискове и възможностите за подобряване на качеството на живот на местните общности са основни елементи в цялостната политика на Община Несебър. </w:t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="00191222">
        <w:rPr>
          <w:rFonts w:ascii="Times New Roman" w:hAnsi="Times New Roman"/>
          <w:sz w:val="28"/>
        </w:rPr>
        <w:tab/>
      </w:r>
      <w:r w:rsidR="00191222">
        <w:rPr>
          <w:rFonts w:ascii="Times New Roman" w:hAnsi="Times New Roman"/>
          <w:sz w:val="28"/>
        </w:rPr>
        <w:tab/>
      </w:r>
      <w:r w:rsidR="00191222">
        <w:rPr>
          <w:rFonts w:ascii="Times New Roman" w:hAnsi="Times New Roman"/>
          <w:sz w:val="28"/>
        </w:rPr>
        <w:tab/>
      </w:r>
      <w:r w:rsidR="00191222">
        <w:rPr>
          <w:rFonts w:ascii="Times New Roman" w:hAnsi="Times New Roman"/>
          <w:sz w:val="28"/>
        </w:rPr>
        <w:tab/>
      </w:r>
      <w:r w:rsidR="00191222">
        <w:rPr>
          <w:rFonts w:ascii="Times New Roman" w:hAnsi="Times New Roman"/>
          <w:sz w:val="28"/>
        </w:rPr>
        <w:tab/>
      </w:r>
      <w:r w:rsidR="00191222">
        <w:rPr>
          <w:rFonts w:ascii="Times New Roman" w:hAnsi="Times New Roman"/>
          <w:sz w:val="28"/>
        </w:rPr>
        <w:tab/>
      </w:r>
      <w:r w:rsidR="00191222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 xml:space="preserve">Осигуряване на устойчиво развитие на града, превръщането му в споделена ценност, ресурс и стимул за устойчиво развитие на общината са основни приоритети заложени в стратегията за културното наследство. Стриктното изпълнението на този важен документ е от изключително значение и цялата енергия на общината и местните граждани е насочена в тази посока. </w:t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82692F">
        <w:rPr>
          <w:rFonts w:ascii="Times New Roman" w:hAnsi="Times New Roman"/>
          <w:sz w:val="28"/>
        </w:rPr>
        <w:tab/>
      </w:r>
      <w:r w:rsidR="00191222">
        <w:rPr>
          <w:rFonts w:ascii="Times New Roman" w:hAnsi="Times New Roman"/>
          <w:sz w:val="28"/>
        </w:rPr>
        <w:tab/>
      </w:r>
      <w:r w:rsidR="00191222">
        <w:rPr>
          <w:rFonts w:ascii="Times New Roman" w:hAnsi="Times New Roman"/>
          <w:sz w:val="28"/>
        </w:rPr>
        <w:tab/>
      </w:r>
      <w:r w:rsidR="00191222">
        <w:rPr>
          <w:rFonts w:ascii="Times New Roman" w:hAnsi="Times New Roman"/>
          <w:sz w:val="28"/>
        </w:rPr>
        <w:tab/>
      </w:r>
      <w:r w:rsidR="00191222">
        <w:rPr>
          <w:rFonts w:ascii="Times New Roman" w:hAnsi="Times New Roman"/>
          <w:sz w:val="28"/>
        </w:rPr>
        <w:tab/>
      </w:r>
      <w:r w:rsidR="00191222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>В периода 2023 – 04.2024 г. не са настъпили съществени социално – икономически изменения, който да променят условията за изпълнение на „Стратегия за културното наследство на Община Несебър 2023 – 2032“.</w:t>
      </w:r>
      <w:r w:rsidRPr="001A1F4A">
        <w:rPr>
          <w:rFonts w:ascii="Times New Roman" w:hAnsi="Times New Roman"/>
          <w:sz w:val="28"/>
        </w:rPr>
        <w:tab/>
        <w:t xml:space="preserve">Положителното движение на основните икономически показатели за развитие на местната икономика свидетелстват за преодоляване на негативните резултати от пандемията от </w:t>
      </w:r>
      <w:r w:rsidRPr="001A1F4A">
        <w:rPr>
          <w:rFonts w:ascii="Times New Roman" w:hAnsi="Times New Roman"/>
          <w:sz w:val="28"/>
          <w:lang w:val="en-US"/>
        </w:rPr>
        <w:t xml:space="preserve">COVID 19 </w:t>
      </w:r>
      <w:r w:rsidRPr="001A1F4A">
        <w:rPr>
          <w:rFonts w:ascii="Times New Roman" w:hAnsi="Times New Roman"/>
          <w:sz w:val="28"/>
        </w:rPr>
        <w:t>от близкото минало.</w:t>
      </w:r>
      <w:r w:rsidR="0082692F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>Наблюдава се изключителна активност във връзка с изпълнението на всички заложени приоритети в стратегията, като изпълнението на проекти, организирането на фестивали, мероприятия, беседи с цел популяризиране и информираност, което е знак, че основната стратегическа цел заложена в документа отговаря на реалните нужди на местното население.</w:t>
      </w:r>
      <w:r w:rsidRPr="001A1F4A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ab/>
      </w:r>
      <w:r w:rsidR="00AD5224">
        <w:rPr>
          <w:rFonts w:ascii="Times New Roman" w:hAnsi="Times New Roman"/>
          <w:sz w:val="28"/>
        </w:rPr>
        <w:tab/>
      </w:r>
      <w:r w:rsidR="00AD5224">
        <w:rPr>
          <w:rFonts w:ascii="Times New Roman" w:hAnsi="Times New Roman"/>
          <w:sz w:val="28"/>
        </w:rPr>
        <w:tab/>
      </w:r>
      <w:r w:rsidR="00AD5224">
        <w:rPr>
          <w:rFonts w:ascii="Times New Roman" w:hAnsi="Times New Roman"/>
          <w:sz w:val="28"/>
        </w:rPr>
        <w:tab/>
      </w:r>
      <w:r w:rsidR="00AD5224">
        <w:rPr>
          <w:rFonts w:ascii="Times New Roman" w:hAnsi="Times New Roman"/>
          <w:sz w:val="28"/>
        </w:rPr>
        <w:tab/>
      </w:r>
      <w:r w:rsidR="00AD5224">
        <w:rPr>
          <w:rFonts w:ascii="Times New Roman" w:hAnsi="Times New Roman"/>
          <w:sz w:val="28"/>
        </w:rPr>
        <w:tab/>
      </w:r>
      <w:r w:rsidR="00AD5224">
        <w:rPr>
          <w:rFonts w:ascii="Times New Roman" w:hAnsi="Times New Roman"/>
          <w:sz w:val="28"/>
        </w:rPr>
        <w:tab/>
      </w:r>
      <w:r w:rsidR="00AD5224">
        <w:rPr>
          <w:rFonts w:ascii="Times New Roman" w:hAnsi="Times New Roman"/>
          <w:sz w:val="28"/>
        </w:rPr>
        <w:tab/>
      </w:r>
      <w:r w:rsidRPr="001A1F4A">
        <w:rPr>
          <w:rFonts w:ascii="Times New Roman" w:hAnsi="Times New Roman"/>
          <w:sz w:val="28"/>
        </w:rPr>
        <w:t>Насърчаване на информационни кампании, организирането на публични дискусии, в т.ч. участие в граждански съвети, работни групи и други форми за комуникация, с акцент опазването, социализирането и популяризирането на културното наследство в община Несебър ще повиши осведомеността на местното общество и ще спомогне за запазването на изключителната световна стойност на „Старинен град Несебър“.</w:t>
      </w:r>
    </w:p>
    <w:sectPr w:rsidR="001A1F4A" w:rsidRPr="001A1F4A" w:rsidSect="00191222">
      <w:headerReference w:type="default" r:id="rId8"/>
      <w:footerReference w:type="default" r:id="rId9"/>
      <w:pgSz w:w="11906" w:h="16838"/>
      <w:pgMar w:top="1985" w:right="1416" w:bottom="1276" w:left="1701" w:header="709" w:footer="833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905" w:rsidRDefault="00D23905" w:rsidP="00224615">
      <w:pPr>
        <w:spacing w:after="0" w:line="240" w:lineRule="auto"/>
      </w:pPr>
      <w:r>
        <w:separator/>
      </w:r>
    </w:p>
  </w:endnote>
  <w:endnote w:type="continuationSeparator" w:id="0">
    <w:p w:rsidR="00D23905" w:rsidRDefault="00D23905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82302903"/>
      <w:docPartObj>
        <w:docPartGallery w:val="Page Numbers (Bottom of Page)"/>
        <w:docPartUnique/>
      </w:docPartObj>
    </w:sdtPr>
    <w:sdtEndPr/>
    <w:sdtContent>
      <w:p w:rsidR="00191222" w:rsidRDefault="0019122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5D88">
          <w:rPr>
            <w:noProof/>
          </w:rPr>
          <w:t>0</w:t>
        </w:r>
        <w:r>
          <w:fldChar w:fldCharType="end"/>
        </w:r>
      </w:p>
    </w:sdtContent>
  </w:sdt>
  <w:p w:rsidR="00191222" w:rsidRDefault="0019122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905" w:rsidRDefault="00D23905" w:rsidP="00224615">
      <w:pPr>
        <w:spacing w:after="0" w:line="240" w:lineRule="auto"/>
      </w:pPr>
      <w:r>
        <w:separator/>
      </w:r>
    </w:p>
  </w:footnote>
  <w:footnote w:type="continuationSeparator" w:id="0">
    <w:p w:rsidR="00D23905" w:rsidRDefault="00D23905" w:rsidP="00224615">
      <w:pPr>
        <w:spacing w:after="0" w:line="240" w:lineRule="auto"/>
      </w:pPr>
      <w:r>
        <w:continuationSeparator/>
      </w:r>
    </w:p>
  </w:footnote>
  <w:footnote w:id="1">
    <w:p w:rsidR="001A1F4A" w:rsidRPr="00C97EA9" w:rsidRDefault="001A1F4A" w:rsidP="001A1F4A">
      <w:pPr>
        <w:pStyle w:val="aa"/>
      </w:pPr>
      <w:r>
        <w:rPr>
          <w:rStyle w:val="ac"/>
        </w:rPr>
        <w:footnoteRef/>
      </w:r>
      <w:r>
        <w:t xml:space="preserve"> </w:t>
      </w:r>
      <w:hyperlink r:id="rId1" w:history="1">
        <w:r w:rsidRPr="00C97EA9">
          <w:rPr>
            <w:rStyle w:val="1"/>
          </w:rPr>
          <w:t>https://www.youtube.com/watch?v=LgdUK-f9FuU</w:t>
        </w:r>
      </w:hyperlink>
    </w:p>
    <w:p w:rsidR="001A1F4A" w:rsidRDefault="001A1F4A" w:rsidP="001A1F4A">
      <w:pPr>
        <w:pStyle w:val="aa"/>
      </w:pPr>
    </w:p>
  </w:footnote>
  <w:footnote w:id="2">
    <w:p w:rsidR="001A1F4A" w:rsidRPr="00C97EA9" w:rsidRDefault="001A1F4A" w:rsidP="001A1F4A">
      <w:pPr>
        <w:pStyle w:val="aa"/>
      </w:pPr>
      <w:r>
        <w:rPr>
          <w:rStyle w:val="ac"/>
        </w:rPr>
        <w:footnoteRef/>
      </w:r>
      <w:r>
        <w:t xml:space="preserve"> </w:t>
      </w:r>
      <w:hyperlink r:id="rId2" w:history="1">
        <w:r w:rsidRPr="00C97EA9">
          <w:rPr>
            <w:rStyle w:val="1"/>
            <w:lang w:val="en-US"/>
          </w:rPr>
          <w:t>https://www.youtube.com/watch?v=lq_bair-VfA</w:t>
        </w:r>
      </w:hyperlink>
    </w:p>
    <w:p w:rsidR="001A1F4A" w:rsidRDefault="001A1F4A" w:rsidP="001A1F4A">
      <w:pPr>
        <w:pStyle w:val="aa"/>
      </w:pPr>
    </w:p>
  </w:footnote>
  <w:footnote w:id="3">
    <w:p w:rsidR="001A1F4A" w:rsidRDefault="001A1F4A" w:rsidP="001A1F4A">
      <w:pPr>
        <w:pStyle w:val="aa"/>
      </w:pPr>
      <w:r>
        <w:rPr>
          <w:rStyle w:val="ac"/>
        </w:rPr>
        <w:footnoteRef/>
      </w:r>
      <w:r>
        <w:t xml:space="preserve"> </w:t>
      </w:r>
      <w:hyperlink r:id="rId3" w:history="1">
        <w:r w:rsidRPr="008D7B4D">
          <w:rPr>
            <w:rStyle w:val="1"/>
          </w:rPr>
          <w:t>https://arhicup.net/bg/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4385" w:rsidRDefault="003B3DFE">
    <w:pPr>
      <w:pStyle w:val="a3"/>
    </w:pPr>
    <w:r>
      <w:rPr>
        <w:noProof/>
        <w:lang w:val="en-U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margin">
            <wp:posOffset>-837565</wp:posOffset>
          </wp:positionH>
          <wp:positionV relativeFrom="margin">
            <wp:posOffset>-979805</wp:posOffset>
          </wp:positionV>
          <wp:extent cx="7434580" cy="100203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4580" cy="1002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33415"/>
    <w:multiLevelType w:val="hybridMultilevel"/>
    <w:tmpl w:val="09F683B2"/>
    <w:lvl w:ilvl="0" w:tplc="CC0A1AFE">
      <w:start w:val="1"/>
      <w:numFmt w:val="upperRoman"/>
      <w:lvlText w:val="%1."/>
      <w:lvlJc w:val="left"/>
      <w:pPr>
        <w:ind w:left="1080" w:hanging="720"/>
      </w:pPr>
      <w:rPr>
        <w:rFonts w:ascii="Times New Roman" w:eastAsia="Calibri" w:hAnsi="Times New Roman" w:cs="Times New Roman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C22AF"/>
    <w:multiLevelType w:val="hybridMultilevel"/>
    <w:tmpl w:val="02E0934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27A09"/>
    <w:multiLevelType w:val="hybridMultilevel"/>
    <w:tmpl w:val="75E6805E"/>
    <w:lvl w:ilvl="0" w:tplc="C8785AA2">
      <w:start w:val="1"/>
      <w:numFmt w:val="upperRoman"/>
      <w:lvlText w:val="%1."/>
      <w:lvlJc w:val="left"/>
      <w:pPr>
        <w:ind w:left="3552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3912" w:hanging="360"/>
      </w:pPr>
    </w:lvl>
    <w:lvl w:ilvl="2" w:tplc="0402001B" w:tentative="1">
      <w:start w:val="1"/>
      <w:numFmt w:val="lowerRoman"/>
      <w:lvlText w:val="%3."/>
      <w:lvlJc w:val="right"/>
      <w:pPr>
        <w:ind w:left="4632" w:hanging="180"/>
      </w:pPr>
    </w:lvl>
    <w:lvl w:ilvl="3" w:tplc="0402000F" w:tentative="1">
      <w:start w:val="1"/>
      <w:numFmt w:val="decimal"/>
      <w:lvlText w:val="%4."/>
      <w:lvlJc w:val="left"/>
      <w:pPr>
        <w:ind w:left="5352" w:hanging="360"/>
      </w:pPr>
    </w:lvl>
    <w:lvl w:ilvl="4" w:tplc="04020019" w:tentative="1">
      <w:start w:val="1"/>
      <w:numFmt w:val="lowerLetter"/>
      <w:lvlText w:val="%5."/>
      <w:lvlJc w:val="left"/>
      <w:pPr>
        <w:ind w:left="6072" w:hanging="360"/>
      </w:pPr>
    </w:lvl>
    <w:lvl w:ilvl="5" w:tplc="0402001B" w:tentative="1">
      <w:start w:val="1"/>
      <w:numFmt w:val="lowerRoman"/>
      <w:lvlText w:val="%6."/>
      <w:lvlJc w:val="right"/>
      <w:pPr>
        <w:ind w:left="6792" w:hanging="180"/>
      </w:pPr>
    </w:lvl>
    <w:lvl w:ilvl="6" w:tplc="0402000F" w:tentative="1">
      <w:start w:val="1"/>
      <w:numFmt w:val="decimal"/>
      <w:lvlText w:val="%7."/>
      <w:lvlJc w:val="left"/>
      <w:pPr>
        <w:ind w:left="7512" w:hanging="360"/>
      </w:pPr>
    </w:lvl>
    <w:lvl w:ilvl="7" w:tplc="04020019" w:tentative="1">
      <w:start w:val="1"/>
      <w:numFmt w:val="lowerLetter"/>
      <w:lvlText w:val="%8."/>
      <w:lvlJc w:val="left"/>
      <w:pPr>
        <w:ind w:left="8232" w:hanging="360"/>
      </w:pPr>
    </w:lvl>
    <w:lvl w:ilvl="8" w:tplc="0402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3" w15:restartNumberingAfterBreak="0">
    <w:nsid w:val="297D52CA"/>
    <w:multiLevelType w:val="hybridMultilevel"/>
    <w:tmpl w:val="0504B70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6370EF"/>
    <w:multiLevelType w:val="hybridMultilevel"/>
    <w:tmpl w:val="1B42371C"/>
    <w:lvl w:ilvl="0" w:tplc="778818C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615"/>
    <w:rsid w:val="000007F5"/>
    <w:rsid w:val="00015506"/>
    <w:rsid w:val="000234CF"/>
    <w:rsid w:val="000434F3"/>
    <w:rsid w:val="00044361"/>
    <w:rsid w:val="00044AE3"/>
    <w:rsid w:val="00071A50"/>
    <w:rsid w:val="000C4707"/>
    <w:rsid w:val="000E4C91"/>
    <w:rsid w:val="000F0CFE"/>
    <w:rsid w:val="000F5E79"/>
    <w:rsid w:val="001224DA"/>
    <w:rsid w:val="00122AB3"/>
    <w:rsid w:val="00177717"/>
    <w:rsid w:val="00191222"/>
    <w:rsid w:val="001A1BB5"/>
    <w:rsid w:val="001A1F4A"/>
    <w:rsid w:val="001B64ED"/>
    <w:rsid w:val="001D214B"/>
    <w:rsid w:val="002004D2"/>
    <w:rsid w:val="00224615"/>
    <w:rsid w:val="002E0B12"/>
    <w:rsid w:val="00357D44"/>
    <w:rsid w:val="0038402D"/>
    <w:rsid w:val="003B3DFE"/>
    <w:rsid w:val="003B47AF"/>
    <w:rsid w:val="004130FC"/>
    <w:rsid w:val="00461B84"/>
    <w:rsid w:val="00461EE1"/>
    <w:rsid w:val="00464D5F"/>
    <w:rsid w:val="00474470"/>
    <w:rsid w:val="004D2BA8"/>
    <w:rsid w:val="004D4385"/>
    <w:rsid w:val="004E42C7"/>
    <w:rsid w:val="004F2D8D"/>
    <w:rsid w:val="00534A04"/>
    <w:rsid w:val="005A7381"/>
    <w:rsid w:val="005D087F"/>
    <w:rsid w:val="005F00C7"/>
    <w:rsid w:val="00602FF6"/>
    <w:rsid w:val="00621777"/>
    <w:rsid w:val="006703E0"/>
    <w:rsid w:val="00671382"/>
    <w:rsid w:val="00682E27"/>
    <w:rsid w:val="0068479C"/>
    <w:rsid w:val="0069685B"/>
    <w:rsid w:val="00696971"/>
    <w:rsid w:val="006A5C96"/>
    <w:rsid w:val="006C4A74"/>
    <w:rsid w:val="006D15DC"/>
    <w:rsid w:val="006D28EC"/>
    <w:rsid w:val="00724C9A"/>
    <w:rsid w:val="00730408"/>
    <w:rsid w:val="00757E1C"/>
    <w:rsid w:val="00763E63"/>
    <w:rsid w:val="00780B23"/>
    <w:rsid w:val="007F6171"/>
    <w:rsid w:val="0082692F"/>
    <w:rsid w:val="008877B1"/>
    <w:rsid w:val="008A4426"/>
    <w:rsid w:val="008B2986"/>
    <w:rsid w:val="008B3AFE"/>
    <w:rsid w:val="00910B39"/>
    <w:rsid w:val="009163BA"/>
    <w:rsid w:val="009235D4"/>
    <w:rsid w:val="00970F66"/>
    <w:rsid w:val="00985A6F"/>
    <w:rsid w:val="0099773F"/>
    <w:rsid w:val="009E5879"/>
    <w:rsid w:val="00A047A4"/>
    <w:rsid w:val="00A44DB9"/>
    <w:rsid w:val="00A45D04"/>
    <w:rsid w:val="00A5279F"/>
    <w:rsid w:val="00A609A6"/>
    <w:rsid w:val="00A720C0"/>
    <w:rsid w:val="00AA3CF8"/>
    <w:rsid w:val="00AB15BE"/>
    <w:rsid w:val="00AD3E91"/>
    <w:rsid w:val="00AD5224"/>
    <w:rsid w:val="00B04B51"/>
    <w:rsid w:val="00B34B74"/>
    <w:rsid w:val="00B47E04"/>
    <w:rsid w:val="00B523F8"/>
    <w:rsid w:val="00B65A67"/>
    <w:rsid w:val="00BA77C0"/>
    <w:rsid w:val="00C626F9"/>
    <w:rsid w:val="00CD15FF"/>
    <w:rsid w:val="00CD5D88"/>
    <w:rsid w:val="00CE4C93"/>
    <w:rsid w:val="00D07DCF"/>
    <w:rsid w:val="00D12DF0"/>
    <w:rsid w:val="00D23905"/>
    <w:rsid w:val="00D40585"/>
    <w:rsid w:val="00D7545F"/>
    <w:rsid w:val="00D759FA"/>
    <w:rsid w:val="00D9479E"/>
    <w:rsid w:val="00DA4D1A"/>
    <w:rsid w:val="00DA7004"/>
    <w:rsid w:val="00E13C2B"/>
    <w:rsid w:val="00E23348"/>
    <w:rsid w:val="00E80655"/>
    <w:rsid w:val="00EE4320"/>
    <w:rsid w:val="00F52BA3"/>
    <w:rsid w:val="00F7005E"/>
    <w:rsid w:val="00F72F22"/>
    <w:rsid w:val="00F96896"/>
    <w:rsid w:val="00FA02DF"/>
    <w:rsid w:val="00FE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61CB9C7-A80E-4F9A-82C4-C1DD69FB1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32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96896"/>
    <w:pPr>
      <w:ind w:left="720"/>
      <w:contextualSpacing/>
    </w:pPr>
  </w:style>
  <w:style w:type="paragraph" w:styleId="aa">
    <w:name w:val="footnote text"/>
    <w:basedOn w:val="a"/>
    <w:link w:val="ab"/>
    <w:uiPriority w:val="99"/>
    <w:semiHidden/>
    <w:unhideWhenUsed/>
    <w:rsid w:val="001A1F4A"/>
    <w:pPr>
      <w:spacing w:after="0" w:line="240" w:lineRule="auto"/>
    </w:pPr>
    <w:rPr>
      <w:sz w:val="20"/>
      <w:szCs w:val="20"/>
    </w:rPr>
  </w:style>
  <w:style w:type="character" w:customStyle="1" w:styleId="ab">
    <w:name w:val="Текст под линия Знак"/>
    <w:basedOn w:val="a0"/>
    <w:link w:val="aa"/>
    <w:uiPriority w:val="99"/>
    <w:semiHidden/>
    <w:rsid w:val="001A1F4A"/>
    <w:rPr>
      <w:lang w:eastAsia="en-US"/>
    </w:rPr>
  </w:style>
  <w:style w:type="character" w:styleId="ac">
    <w:name w:val="footnote reference"/>
    <w:basedOn w:val="a0"/>
    <w:uiPriority w:val="99"/>
    <w:semiHidden/>
    <w:unhideWhenUsed/>
    <w:rsid w:val="001A1F4A"/>
    <w:rPr>
      <w:vertAlign w:val="superscript"/>
    </w:rPr>
  </w:style>
  <w:style w:type="character" w:customStyle="1" w:styleId="1">
    <w:name w:val="Хипервръзка1"/>
    <w:basedOn w:val="a0"/>
    <w:uiPriority w:val="99"/>
    <w:unhideWhenUsed/>
    <w:rsid w:val="001A1F4A"/>
    <w:rPr>
      <w:color w:val="0563C1"/>
      <w:u w:val="single"/>
    </w:rPr>
  </w:style>
  <w:style w:type="character" w:styleId="ad">
    <w:name w:val="Hyperlink"/>
    <w:basedOn w:val="a0"/>
    <w:uiPriority w:val="99"/>
    <w:semiHidden/>
    <w:unhideWhenUsed/>
    <w:rsid w:val="001A1F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arhicup.net/bg/" TargetMode="External"/><Relationship Id="rId2" Type="http://schemas.openxmlformats.org/officeDocument/2006/relationships/hyperlink" Target="https://www.youtube.com/watch?v=lq_bair-VfA" TargetMode="External"/><Relationship Id="rId1" Type="http://schemas.openxmlformats.org/officeDocument/2006/relationships/hyperlink" Target="https://www.youtube.com/watch?v=LgdUK-f9Fu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D58D3-CCD2-4FBE-9A26-E1E8EEDF0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4290</Words>
  <Characters>24458</Characters>
  <Application>Microsoft Office Word</Application>
  <DocSecurity>0</DocSecurity>
  <Lines>203</Lines>
  <Paragraphs>57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Njo-Njo</dc:creator>
  <cp:keywords/>
  <dc:description/>
  <cp:lastModifiedBy>nina veledinova</cp:lastModifiedBy>
  <cp:revision>2</cp:revision>
  <cp:lastPrinted>2024-06-14T05:47:00Z</cp:lastPrinted>
  <dcterms:created xsi:type="dcterms:W3CDTF">2024-06-18T13:09:00Z</dcterms:created>
  <dcterms:modified xsi:type="dcterms:W3CDTF">2024-06-18T13:09:00Z</dcterms:modified>
</cp:coreProperties>
</file>